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CAB" w:rsidRPr="006F533A" w:rsidRDefault="00EB1CAB" w:rsidP="00EB1CAB">
      <w:pPr>
        <w:ind w:left="2340" w:right="1124" w:hanging="924"/>
        <w:jc w:val="both"/>
        <w:rPr>
          <w:rFonts w:ascii="Tahoma" w:hAnsi="Tahoma" w:cs="Tahoma"/>
          <w:sz w:val="22"/>
          <w:szCs w:val="22"/>
        </w:rPr>
      </w:pPr>
    </w:p>
    <w:p w:rsidR="00EB1CAB" w:rsidRPr="00EB1CAB" w:rsidRDefault="00EB1CAB" w:rsidP="00EB1CAB">
      <w:pPr>
        <w:ind w:left="2340" w:right="1124" w:hanging="924"/>
        <w:jc w:val="both"/>
        <w:rPr>
          <w:rFonts w:ascii="Tahoma" w:hAnsi="Tahoma" w:cs="Tahoma"/>
          <w:i/>
          <w:sz w:val="18"/>
          <w:szCs w:val="18"/>
        </w:rPr>
      </w:pPr>
      <w:r w:rsidRPr="00831437">
        <w:rPr>
          <w:rFonts w:ascii="Tahoma" w:hAnsi="Tahoma" w:cs="Tahoma"/>
          <w:b/>
          <w:i/>
          <w:sz w:val="20"/>
          <w:szCs w:val="20"/>
        </w:rPr>
        <w:t>Sumilla:</w:t>
      </w:r>
      <w:r w:rsidRPr="006F533A">
        <w:rPr>
          <w:rFonts w:ascii="Tahoma" w:hAnsi="Tahoma" w:cs="Tahoma"/>
          <w:b/>
          <w:i/>
          <w:sz w:val="22"/>
          <w:szCs w:val="22"/>
        </w:rPr>
        <w:t xml:space="preserve"> </w:t>
      </w:r>
      <w:r w:rsidRPr="00EB1CAB">
        <w:rPr>
          <w:rFonts w:ascii="Tahoma" w:hAnsi="Tahoma" w:cs="Tahoma"/>
          <w:i/>
          <w:sz w:val="18"/>
          <w:szCs w:val="18"/>
        </w:rPr>
        <w:t>Es pasible de sanción el postor que presenta documentos falsos a la Entidad, entendiéndose por tales aquellos que no hayan sido expedidos por su emisor o que, siendo válidamente emitidos, hayan sido adulterados en su forma o contenido, independientemente de quién haya sido su autor o de las circunstancias que condujeron a su falsificación.</w:t>
      </w:r>
    </w:p>
    <w:p w:rsidR="00EB1CAB" w:rsidRPr="00B70220" w:rsidRDefault="00EB1CAB" w:rsidP="00EB1CAB">
      <w:pPr>
        <w:pStyle w:val="Textoindependiente3"/>
        <w:ind w:left="2124" w:firstLine="708"/>
        <w:rPr>
          <w:rFonts w:ascii="Tahoma" w:hAnsi="Tahoma" w:cs="Tahoma"/>
          <w:b w:val="0"/>
          <w:sz w:val="20"/>
          <w:lang w:val="es-ES"/>
        </w:rPr>
      </w:pPr>
    </w:p>
    <w:p w:rsidR="00EB1CAB" w:rsidRPr="007C25EE" w:rsidRDefault="00EB1CAB" w:rsidP="00EB1CAB">
      <w:pPr>
        <w:pStyle w:val="Textoindependiente3"/>
        <w:ind w:left="2124" w:firstLine="708"/>
        <w:rPr>
          <w:rFonts w:ascii="Tahoma" w:hAnsi="Tahoma" w:cs="Tahoma"/>
          <w:b w:val="0"/>
          <w:sz w:val="20"/>
          <w:lang w:val="es-ES"/>
        </w:rPr>
      </w:pPr>
    </w:p>
    <w:p w:rsidR="00EB1CAB" w:rsidRPr="00D266F6" w:rsidRDefault="00EB1CAB" w:rsidP="00EB1CAB">
      <w:pPr>
        <w:pStyle w:val="Textoindependiente3"/>
        <w:ind w:left="4248" w:firstLine="708"/>
        <w:jc w:val="both"/>
        <w:rPr>
          <w:rFonts w:ascii="Tahoma" w:hAnsi="Tahoma" w:cs="Tahoma"/>
          <w:sz w:val="22"/>
          <w:szCs w:val="22"/>
        </w:rPr>
      </w:pPr>
      <w:r w:rsidRPr="00D266F6">
        <w:rPr>
          <w:rFonts w:ascii="Tahoma" w:hAnsi="Tahoma" w:cs="Tahoma"/>
          <w:sz w:val="22"/>
          <w:szCs w:val="22"/>
        </w:rPr>
        <w:t>Lima,</w:t>
      </w:r>
    </w:p>
    <w:p w:rsidR="00EB1CAB" w:rsidRPr="00D266F6" w:rsidRDefault="00EB1CAB" w:rsidP="00EB1CAB">
      <w:pPr>
        <w:pStyle w:val="Textoindependiente3"/>
        <w:jc w:val="left"/>
        <w:rPr>
          <w:rFonts w:ascii="Tahoma" w:hAnsi="Tahoma" w:cs="Tahoma"/>
          <w:b w:val="0"/>
          <w:sz w:val="22"/>
          <w:szCs w:val="22"/>
        </w:rPr>
      </w:pPr>
    </w:p>
    <w:p w:rsidR="00EB1CAB" w:rsidRPr="00D266F6" w:rsidRDefault="00EB1CAB" w:rsidP="00EB1CAB">
      <w:pPr>
        <w:pStyle w:val="Textoindependiente3"/>
        <w:jc w:val="left"/>
        <w:rPr>
          <w:rFonts w:ascii="Tahoma" w:hAnsi="Tahoma" w:cs="Tahoma"/>
          <w:b w:val="0"/>
          <w:sz w:val="22"/>
          <w:szCs w:val="22"/>
        </w:rPr>
      </w:pPr>
    </w:p>
    <w:p w:rsidR="00EB1CAB" w:rsidRPr="00D266F6" w:rsidRDefault="00EB1CAB" w:rsidP="00EB1CAB">
      <w:pPr>
        <w:ind w:firstLine="540"/>
        <w:jc w:val="both"/>
        <w:rPr>
          <w:rFonts w:ascii="Tahoma" w:hAnsi="Tahoma" w:cs="Tahoma"/>
          <w:w w:val="102"/>
          <w:sz w:val="22"/>
          <w:szCs w:val="22"/>
        </w:rPr>
      </w:pPr>
      <w:r w:rsidRPr="00D266F6">
        <w:rPr>
          <w:rFonts w:ascii="Tahoma" w:hAnsi="Tahoma" w:cs="Tahoma"/>
          <w:b/>
          <w:w w:val="102"/>
          <w:sz w:val="22"/>
          <w:szCs w:val="22"/>
        </w:rPr>
        <w:t>Visto,</w:t>
      </w:r>
      <w:r w:rsidRPr="00D266F6">
        <w:rPr>
          <w:rFonts w:ascii="Tahoma" w:hAnsi="Tahoma" w:cs="Tahoma"/>
          <w:w w:val="102"/>
          <w:sz w:val="22"/>
          <w:szCs w:val="22"/>
        </w:rPr>
        <w:t xml:space="preserve"> </w:t>
      </w:r>
      <w:r w:rsidRPr="00D266F6">
        <w:rPr>
          <w:rFonts w:ascii="Tahoma" w:hAnsi="Tahoma" w:cs="Tahoma"/>
          <w:sz w:val="22"/>
          <w:szCs w:val="22"/>
        </w:rPr>
        <w:t>en sesión de fecha 1</w:t>
      </w:r>
      <w:r w:rsidR="005C18DB">
        <w:rPr>
          <w:rFonts w:ascii="Tahoma" w:hAnsi="Tahoma" w:cs="Tahoma"/>
          <w:sz w:val="22"/>
          <w:szCs w:val="22"/>
        </w:rPr>
        <w:t>0</w:t>
      </w:r>
      <w:r w:rsidRPr="00D266F6">
        <w:rPr>
          <w:rFonts w:ascii="Tahoma" w:hAnsi="Tahoma" w:cs="Tahoma"/>
          <w:sz w:val="22"/>
          <w:szCs w:val="22"/>
        </w:rPr>
        <w:t xml:space="preserve"> de febrero de 2011 de la Cuarta Sala del Tribunal de Contrataciones del Estado, el Expediente N° 1065/2008.TC, sobre el procedimiento administrativo sancionador iniciado contra DECOSER PUBLICITARIOS S.A.C., por su supuesta responsabilidad en la presentación de documentación falsa o inexacta en el Proceso por Competencia Menor Nº 170-2007-OFP/PETROPERU; y atendiendo a los siguientes:  </w:t>
      </w:r>
    </w:p>
    <w:p w:rsidR="00EB1CAB" w:rsidRPr="00D266F6" w:rsidRDefault="00EB1CAB" w:rsidP="00D266F6">
      <w:pPr>
        <w:jc w:val="both"/>
        <w:rPr>
          <w:rFonts w:ascii="Tahoma" w:hAnsi="Tahoma" w:cs="Tahoma"/>
          <w:w w:val="102"/>
          <w:sz w:val="22"/>
          <w:szCs w:val="22"/>
        </w:rPr>
      </w:pPr>
    </w:p>
    <w:p w:rsidR="00EB1CAB" w:rsidRPr="00D266F6" w:rsidRDefault="00EB1CAB" w:rsidP="00EB1CAB">
      <w:pPr>
        <w:rPr>
          <w:rFonts w:ascii="Tahoma" w:hAnsi="Tahoma" w:cs="Tahoma"/>
          <w:b/>
          <w:sz w:val="22"/>
          <w:szCs w:val="22"/>
        </w:rPr>
      </w:pPr>
      <w:r w:rsidRPr="00D266F6">
        <w:rPr>
          <w:rFonts w:ascii="Tahoma" w:hAnsi="Tahoma" w:cs="Tahoma"/>
          <w:b/>
          <w:sz w:val="22"/>
          <w:szCs w:val="22"/>
        </w:rPr>
        <w:t>ANTECEDENTES:</w:t>
      </w:r>
    </w:p>
    <w:p w:rsidR="00EB1CAB" w:rsidRPr="00D266F6" w:rsidRDefault="00EB1CAB" w:rsidP="00EB1CAB">
      <w:pPr>
        <w:jc w:val="both"/>
        <w:rPr>
          <w:rFonts w:ascii="Tahoma" w:hAnsi="Tahoma" w:cs="Tahoma"/>
          <w:sz w:val="22"/>
          <w:szCs w:val="22"/>
        </w:rPr>
      </w:pPr>
    </w:p>
    <w:p w:rsidR="00EB1CAB" w:rsidRPr="00D266F6" w:rsidRDefault="00EB1CAB" w:rsidP="00EB1CAB">
      <w:pPr>
        <w:numPr>
          <w:ilvl w:val="0"/>
          <w:numId w:val="5"/>
        </w:numPr>
        <w:tabs>
          <w:tab w:val="clear" w:pos="720"/>
          <w:tab w:val="num" w:pos="567"/>
        </w:tabs>
        <w:ind w:left="567" w:hanging="567"/>
        <w:jc w:val="both"/>
        <w:rPr>
          <w:rFonts w:ascii="Tahoma" w:hAnsi="Tahoma" w:cs="Tahoma"/>
          <w:sz w:val="22"/>
          <w:szCs w:val="22"/>
        </w:rPr>
      </w:pPr>
      <w:r w:rsidRPr="00D266F6">
        <w:rPr>
          <w:rFonts w:ascii="Tahoma" w:hAnsi="Tahoma" w:cs="Tahoma"/>
          <w:sz w:val="22"/>
          <w:szCs w:val="22"/>
        </w:rPr>
        <w:t>El 07 de noviembre de 2007, PETROLEOS DEL PERU-PETROPERU, en adelante la Entidad, convocó el Proceso por Competencia Menor Nº 170-2007-OFP/PETROPERU</w:t>
      </w:r>
      <w:r w:rsidRPr="00D266F6">
        <w:rPr>
          <w:rFonts w:ascii="Tahoma" w:hAnsi="Tahoma" w:cs="Tahoma"/>
          <w:bCs/>
          <w:sz w:val="22"/>
          <w:szCs w:val="22"/>
        </w:rPr>
        <w:t xml:space="preserve">, </w:t>
      </w:r>
      <w:r w:rsidRPr="00D266F6">
        <w:rPr>
          <w:rFonts w:ascii="Tahoma" w:hAnsi="Tahoma" w:cs="Tahoma"/>
          <w:sz w:val="22"/>
          <w:szCs w:val="22"/>
        </w:rPr>
        <w:t>para el servicio de fabricación e instalación de bienes publicitarios y servicio de pintado para la identificación de los Grifos Hermanos Espinoza S.A.C. y Espinoza de Tingo María, por un valor referencial total ascendente a S/. 84,850.00.</w:t>
      </w:r>
    </w:p>
    <w:p w:rsidR="00EB1CAB" w:rsidRPr="00D266F6" w:rsidRDefault="00EB1CAB" w:rsidP="00EB1CAB">
      <w:pPr>
        <w:ind w:left="567"/>
        <w:jc w:val="both"/>
        <w:rPr>
          <w:rFonts w:ascii="Tahoma" w:hAnsi="Tahoma" w:cs="Tahoma"/>
          <w:sz w:val="22"/>
          <w:szCs w:val="22"/>
        </w:rPr>
      </w:pPr>
    </w:p>
    <w:p w:rsidR="00EB1CAB" w:rsidRPr="00D266F6" w:rsidRDefault="00EB1CAB" w:rsidP="00EB1CAB">
      <w:pPr>
        <w:numPr>
          <w:ilvl w:val="0"/>
          <w:numId w:val="5"/>
        </w:numPr>
        <w:tabs>
          <w:tab w:val="clear" w:pos="720"/>
          <w:tab w:val="num" w:pos="567"/>
        </w:tabs>
        <w:ind w:left="567" w:hanging="567"/>
        <w:jc w:val="both"/>
        <w:rPr>
          <w:rFonts w:ascii="Tahoma" w:hAnsi="Tahoma" w:cs="Tahoma"/>
          <w:sz w:val="22"/>
          <w:szCs w:val="22"/>
        </w:rPr>
      </w:pPr>
      <w:r w:rsidRPr="00D266F6">
        <w:rPr>
          <w:rFonts w:ascii="Tahoma" w:hAnsi="Tahoma" w:cs="Tahoma"/>
          <w:sz w:val="22"/>
          <w:szCs w:val="22"/>
        </w:rPr>
        <w:t>El 13 de noviembre de 2007, se llevó a cabo el acto  de presentación de propuestas entre las cuales se presentó  la empresa DECOSER PUBLICITARIOS S.A.C., en adelante el Postor, llevándose a cabo el acto de la buena pro el 20 de noviembre de 2007.</w:t>
      </w:r>
    </w:p>
    <w:p w:rsidR="00EB1CAB" w:rsidRPr="00D266F6" w:rsidRDefault="00EB1CAB" w:rsidP="00EB1CAB">
      <w:pPr>
        <w:pStyle w:val="Textoindependiente"/>
        <w:tabs>
          <w:tab w:val="left" w:pos="567"/>
        </w:tabs>
        <w:ind w:left="567"/>
        <w:jc w:val="both"/>
        <w:rPr>
          <w:rFonts w:ascii="Tahoma" w:hAnsi="Tahoma" w:cs="Tahoma"/>
          <w:sz w:val="22"/>
          <w:szCs w:val="22"/>
        </w:rPr>
      </w:pPr>
    </w:p>
    <w:p w:rsidR="00EB1CAB" w:rsidRPr="00D266F6" w:rsidRDefault="00EB1CAB" w:rsidP="00EB1CAB">
      <w:pPr>
        <w:pStyle w:val="Textoindependiente"/>
        <w:numPr>
          <w:ilvl w:val="0"/>
          <w:numId w:val="5"/>
        </w:numPr>
        <w:tabs>
          <w:tab w:val="clear" w:pos="720"/>
          <w:tab w:val="left" w:pos="567"/>
        </w:tabs>
        <w:spacing w:after="0"/>
        <w:ind w:left="567" w:hanging="567"/>
        <w:jc w:val="both"/>
        <w:rPr>
          <w:rFonts w:ascii="Tahoma" w:hAnsi="Tahoma" w:cs="Tahoma"/>
          <w:sz w:val="22"/>
          <w:szCs w:val="22"/>
        </w:rPr>
      </w:pPr>
      <w:r w:rsidRPr="00D266F6">
        <w:rPr>
          <w:rFonts w:ascii="Tahoma" w:hAnsi="Tahoma" w:cs="Tahoma"/>
          <w:sz w:val="22"/>
          <w:szCs w:val="22"/>
        </w:rPr>
        <w:t>Mediante escrito de fecha 24 de marzo de 2008, la Entidad comunicó al Tribunal de Contrataciones y Adquisiciones del Estado (hoy Tribunal de Contrataciones del Estado), en lo sucesivo el Tribunal, que el Postor, incurrió en la causal de aplicación de sanción prevista en el numeral 9 del artículo 294 del Reglamento de la Ley de Contrataciones del Estado por la presentación de documentos presuntamente falsos y/o información inexacta, manifestando lo siguiente:</w:t>
      </w:r>
    </w:p>
    <w:p w:rsidR="00EB1CAB" w:rsidRPr="00D266F6" w:rsidRDefault="00EB1CAB" w:rsidP="00EB1CAB">
      <w:pPr>
        <w:pStyle w:val="Textoindependiente"/>
        <w:tabs>
          <w:tab w:val="left" w:pos="567"/>
        </w:tabs>
        <w:jc w:val="both"/>
        <w:rPr>
          <w:rFonts w:ascii="Tahoma" w:hAnsi="Tahoma" w:cs="Tahoma"/>
          <w:sz w:val="22"/>
          <w:szCs w:val="22"/>
        </w:rPr>
      </w:pPr>
    </w:p>
    <w:p w:rsidR="00EB1CAB" w:rsidRPr="00D266F6" w:rsidRDefault="00EB1CAB" w:rsidP="00EB1CAB">
      <w:pPr>
        <w:pStyle w:val="Textoindependiente"/>
        <w:numPr>
          <w:ilvl w:val="0"/>
          <w:numId w:val="6"/>
        </w:numPr>
        <w:tabs>
          <w:tab w:val="left" w:pos="567"/>
        </w:tabs>
        <w:spacing w:after="0"/>
        <w:jc w:val="both"/>
        <w:rPr>
          <w:rFonts w:ascii="Tahoma" w:hAnsi="Tahoma" w:cs="Tahoma"/>
          <w:sz w:val="22"/>
          <w:szCs w:val="22"/>
        </w:rPr>
      </w:pPr>
      <w:r w:rsidRPr="00D266F6">
        <w:rPr>
          <w:rFonts w:ascii="Tahoma" w:hAnsi="Tahoma" w:cs="Tahoma"/>
          <w:sz w:val="22"/>
          <w:szCs w:val="22"/>
        </w:rPr>
        <w:t xml:space="preserve">El Postor presentó en su propuesta las Facturas Nº 001-000405, Nº 001-000454, Nº 001-000388 y Nº 001-000384, supuestamente de la venta a varios clientes, no obstante uno de ellos Austral Group S.A.A. correspondiente a la Factura Nº 1001-000388 declaró que no recibió servicios del Postor. </w:t>
      </w:r>
    </w:p>
    <w:p w:rsidR="00EB1CAB" w:rsidRPr="00D266F6" w:rsidRDefault="00EB1CAB" w:rsidP="00EB1CAB">
      <w:pPr>
        <w:pStyle w:val="Textoindependiente"/>
        <w:tabs>
          <w:tab w:val="left" w:pos="567"/>
        </w:tabs>
        <w:jc w:val="both"/>
        <w:rPr>
          <w:rFonts w:ascii="Tahoma" w:hAnsi="Tahoma" w:cs="Tahoma"/>
          <w:sz w:val="22"/>
          <w:szCs w:val="22"/>
        </w:rPr>
      </w:pPr>
    </w:p>
    <w:p w:rsidR="00EB1CAB" w:rsidRPr="00D266F6" w:rsidRDefault="00EB1CAB" w:rsidP="00EB1CAB">
      <w:pPr>
        <w:pStyle w:val="Textoindependiente"/>
        <w:numPr>
          <w:ilvl w:val="0"/>
          <w:numId w:val="6"/>
        </w:numPr>
        <w:tabs>
          <w:tab w:val="left" w:pos="567"/>
        </w:tabs>
        <w:spacing w:after="0"/>
        <w:jc w:val="both"/>
        <w:rPr>
          <w:rFonts w:ascii="Tahoma" w:hAnsi="Tahoma" w:cs="Tahoma"/>
          <w:sz w:val="22"/>
          <w:szCs w:val="22"/>
        </w:rPr>
      </w:pPr>
      <w:r w:rsidRPr="00D266F6">
        <w:rPr>
          <w:rFonts w:ascii="Tahoma" w:hAnsi="Tahoma" w:cs="Tahoma"/>
          <w:sz w:val="22"/>
          <w:szCs w:val="22"/>
        </w:rPr>
        <w:t xml:space="preserve">Asimismo, los mismos números de las cuatro facturas que presentó en el proceso referido en los folios 36, 38, 39 y 40, las presentó en el proceso por Competencia Menor Nº 0144-2007-OFP/PETROPERU (folios 54, 56, 57 y 59), pero con distinta fecha, cliente, RUC del cliente, descripción del servicio, monto de la factura y fecha de cancelación. Por dicha razón lo descalificaron del proceso de selección. </w:t>
      </w:r>
    </w:p>
    <w:p w:rsidR="00EB1CAB" w:rsidRPr="00D266F6" w:rsidRDefault="00EB1CAB" w:rsidP="00EB1CAB">
      <w:pPr>
        <w:pStyle w:val="Prrafodelista"/>
        <w:rPr>
          <w:rFonts w:ascii="Tahoma" w:hAnsi="Tahoma" w:cs="Tahoma"/>
          <w:sz w:val="22"/>
          <w:szCs w:val="22"/>
        </w:rPr>
      </w:pPr>
    </w:p>
    <w:p w:rsidR="00EB1CAB" w:rsidRPr="00D266F6" w:rsidRDefault="00EB1CAB" w:rsidP="00EB1CAB">
      <w:pPr>
        <w:pStyle w:val="Textoindependiente"/>
        <w:numPr>
          <w:ilvl w:val="0"/>
          <w:numId w:val="5"/>
        </w:numPr>
        <w:tabs>
          <w:tab w:val="clear" w:pos="720"/>
          <w:tab w:val="left" w:pos="567"/>
        </w:tabs>
        <w:spacing w:after="0"/>
        <w:ind w:left="567" w:hanging="567"/>
        <w:jc w:val="both"/>
        <w:rPr>
          <w:rFonts w:ascii="Tahoma" w:hAnsi="Tahoma" w:cs="Tahoma"/>
          <w:sz w:val="22"/>
          <w:szCs w:val="22"/>
        </w:rPr>
      </w:pPr>
      <w:r w:rsidRPr="00D266F6">
        <w:rPr>
          <w:rFonts w:ascii="Tahoma" w:hAnsi="Tahoma" w:cs="Tahoma"/>
          <w:bCs/>
          <w:sz w:val="22"/>
          <w:szCs w:val="22"/>
        </w:rPr>
        <w:t xml:space="preserve">Mediante decreto de fecha 27 de marzo de 2008, debidamente notificado el 29 de abril de 2008, el Tribunal dispuso el inicio del procedimiento administrativo sancionador contra </w:t>
      </w:r>
      <w:r w:rsidRPr="00D266F6">
        <w:rPr>
          <w:rFonts w:ascii="Tahoma" w:hAnsi="Tahoma" w:cs="Tahoma"/>
          <w:sz w:val="22"/>
          <w:szCs w:val="22"/>
        </w:rPr>
        <w:t>el Postor,</w:t>
      </w:r>
      <w:r w:rsidRPr="00D266F6">
        <w:rPr>
          <w:rFonts w:ascii="Tahoma" w:hAnsi="Tahoma" w:cs="Tahoma"/>
          <w:bCs/>
          <w:sz w:val="22"/>
          <w:szCs w:val="22"/>
        </w:rPr>
        <w:t xml:space="preserve"> por su supuesta responsabilidad en la presentación de documentación falsa o  inexacta durante el</w:t>
      </w:r>
      <w:r w:rsidRPr="00D266F6">
        <w:rPr>
          <w:rFonts w:ascii="Tahoma" w:hAnsi="Tahoma" w:cs="Tahoma"/>
          <w:sz w:val="22"/>
          <w:szCs w:val="22"/>
        </w:rPr>
        <w:t xml:space="preserve"> Proceso por Competencia Menor Nº 170-2007-OFP/PETROPERU</w:t>
      </w:r>
      <w:r w:rsidRPr="00D266F6">
        <w:rPr>
          <w:rFonts w:ascii="Tahoma" w:hAnsi="Tahoma" w:cs="Tahoma"/>
          <w:bCs/>
          <w:sz w:val="22"/>
          <w:szCs w:val="22"/>
        </w:rPr>
        <w:t xml:space="preserve">, </w:t>
      </w:r>
      <w:r w:rsidRPr="00D266F6">
        <w:rPr>
          <w:rFonts w:ascii="Tahoma" w:hAnsi="Tahoma" w:cs="Tahoma"/>
          <w:sz w:val="22"/>
          <w:szCs w:val="22"/>
        </w:rPr>
        <w:t>consistente en las Facturas Nº 001-000405, Nº 001-000454, Nº 001-000388 y Nº 001-000384</w:t>
      </w:r>
      <w:r w:rsidRPr="00D266F6">
        <w:rPr>
          <w:rFonts w:ascii="Tahoma" w:hAnsi="Tahoma" w:cs="Tahoma"/>
          <w:bCs/>
          <w:sz w:val="22"/>
          <w:szCs w:val="22"/>
        </w:rPr>
        <w:t xml:space="preserve">; infracción </w:t>
      </w:r>
      <w:r w:rsidRPr="00D266F6">
        <w:rPr>
          <w:rFonts w:ascii="Tahoma" w:hAnsi="Tahoma" w:cs="Tahoma"/>
          <w:sz w:val="22"/>
          <w:szCs w:val="22"/>
        </w:rPr>
        <w:t xml:space="preserve">tipificada </w:t>
      </w:r>
      <w:r w:rsidRPr="00D266F6">
        <w:rPr>
          <w:rFonts w:ascii="Tahoma" w:hAnsi="Tahoma" w:cs="Tahoma"/>
          <w:bCs/>
          <w:sz w:val="22"/>
          <w:szCs w:val="22"/>
        </w:rPr>
        <w:t xml:space="preserve">en el numeral 9 del artículo 294 del </w:t>
      </w:r>
      <w:r w:rsidRPr="00D266F6">
        <w:rPr>
          <w:rFonts w:ascii="Tahoma" w:hAnsi="Tahoma" w:cs="Tahoma"/>
          <w:sz w:val="22"/>
          <w:szCs w:val="22"/>
        </w:rPr>
        <w:t>Reglamento de la Ley de Contrataciones y Adquisiciones del Estado, aprobado mediante Decreto Supremo Nº 084-2004-PCM</w:t>
      </w:r>
      <w:r w:rsidRPr="00D266F6">
        <w:rPr>
          <w:rFonts w:ascii="Tahoma" w:hAnsi="Tahoma" w:cs="Tahoma"/>
          <w:bCs/>
          <w:sz w:val="22"/>
          <w:szCs w:val="22"/>
        </w:rPr>
        <w:t>, otorgándole el plazo de diez  (10) días para que cumpla con formular sus descargos, bajo apercibimiento de resolver con la documentación obrante en autos</w:t>
      </w:r>
      <w:r w:rsidRPr="00D266F6">
        <w:rPr>
          <w:rFonts w:ascii="Tahoma" w:hAnsi="Tahoma" w:cs="Tahoma"/>
          <w:sz w:val="22"/>
          <w:szCs w:val="22"/>
        </w:rPr>
        <w:t>.</w:t>
      </w:r>
    </w:p>
    <w:p w:rsidR="00EB1CAB" w:rsidRPr="00D266F6" w:rsidRDefault="00EB1CAB" w:rsidP="00EB1CAB">
      <w:pPr>
        <w:pStyle w:val="Prrafodelista"/>
        <w:ind w:left="0"/>
        <w:rPr>
          <w:rFonts w:ascii="Tahoma" w:hAnsi="Tahoma" w:cs="Tahoma"/>
          <w:sz w:val="22"/>
          <w:szCs w:val="22"/>
        </w:rPr>
      </w:pPr>
    </w:p>
    <w:p w:rsidR="00EB1CAB" w:rsidRPr="00D266F6" w:rsidRDefault="00EB1CAB" w:rsidP="00EB1CAB">
      <w:pPr>
        <w:numPr>
          <w:ilvl w:val="0"/>
          <w:numId w:val="5"/>
        </w:numPr>
        <w:tabs>
          <w:tab w:val="clear" w:pos="720"/>
          <w:tab w:val="left" w:pos="567"/>
        </w:tabs>
        <w:ind w:left="567" w:hanging="567"/>
        <w:jc w:val="both"/>
        <w:rPr>
          <w:rFonts w:ascii="Tahoma" w:hAnsi="Tahoma" w:cs="Tahoma"/>
          <w:sz w:val="22"/>
          <w:szCs w:val="22"/>
        </w:rPr>
      </w:pPr>
      <w:r w:rsidRPr="00D266F6">
        <w:rPr>
          <w:rFonts w:ascii="Tahoma" w:hAnsi="Tahoma" w:cs="Tahoma"/>
          <w:sz w:val="22"/>
          <w:szCs w:val="22"/>
        </w:rPr>
        <w:t xml:space="preserve">Considerando que, el postor no presentó sus descargos en el plazo otorgado, mediante decreto de fecha 22 de mayo de 2008, se hizo efectivo el apercibimiento de resolver con la documentación en autos y se remitió el expediente a la Tercera Sala del Tribunal para que emita pronunciamiento. </w:t>
      </w:r>
    </w:p>
    <w:p w:rsidR="00EB1CAB" w:rsidRPr="00D266F6" w:rsidRDefault="00EB1CAB" w:rsidP="00EB1CAB">
      <w:pPr>
        <w:tabs>
          <w:tab w:val="left" w:pos="567"/>
        </w:tabs>
        <w:jc w:val="both"/>
        <w:rPr>
          <w:rFonts w:ascii="Tahoma" w:hAnsi="Tahoma" w:cs="Tahoma"/>
          <w:sz w:val="22"/>
          <w:szCs w:val="22"/>
        </w:rPr>
      </w:pPr>
    </w:p>
    <w:p w:rsidR="00EB1CAB" w:rsidRPr="00D266F6" w:rsidRDefault="00EB1CAB" w:rsidP="00EB1CAB">
      <w:pPr>
        <w:numPr>
          <w:ilvl w:val="0"/>
          <w:numId w:val="5"/>
        </w:numPr>
        <w:tabs>
          <w:tab w:val="clear" w:pos="720"/>
          <w:tab w:val="left" w:pos="567"/>
        </w:tabs>
        <w:ind w:left="567" w:hanging="567"/>
        <w:jc w:val="both"/>
        <w:rPr>
          <w:rFonts w:ascii="Tahoma" w:hAnsi="Tahoma" w:cs="Tahoma"/>
          <w:sz w:val="22"/>
          <w:szCs w:val="22"/>
        </w:rPr>
      </w:pPr>
      <w:r w:rsidRPr="00D266F6">
        <w:rPr>
          <w:rFonts w:ascii="Tahoma" w:hAnsi="Tahoma" w:cs="Tahoma"/>
          <w:sz w:val="22"/>
          <w:szCs w:val="22"/>
        </w:rPr>
        <w:t>Mediante escrito presentado el 8 y 11 de julio de 2008, el Postor presentó sus descargos manifestando lo siguiente:</w:t>
      </w:r>
    </w:p>
    <w:p w:rsidR="00EB1CAB" w:rsidRPr="00D266F6" w:rsidRDefault="00EB1CAB" w:rsidP="00EB1CAB">
      <w:pPr>
        <w:pStyle w:val="Prrafodelista"/>
        <w:ind w:left="0"/>
        <w:rPr>
          <w:rFonts w:ascii="Tahoma" w:hAnsi="Tahoma" w:cs="Tahoma"/>
          <w:sz w:val="22"/>
          <w:szCs w:val="22"/>
        </w:rPr>
      </w:pPr>
    </w:p>
    <w:p w:rsidR="00EB1CAB" w:rsidRPr="00D266F6" w:rsidRDefault="00EB1CAB" w:rsidP="00EB1CAB">
      <w:pPr>
        <w:pStyle w:val="Prrafodelista"/>
        <w:numPr>
          <w:ilvl w:val="0"/>
          <w:numId w:val="7"/>
        </w:numPr>
        <w:tabs>
          <w:tab w:val="left" w:pos="567"/>
        </w:tabs>
        <w:jc w:val="both"/>
        <w:rPr>
          <w:rFonts w:ascii="Tahoma" w:hAnsi="Tahoma" w:cs="Tahoma"/>
          <w:sz w:val="22"/>
          <w:szCs w:val="22"/>
        </w:rPr>
      </w:pPr>
      <w:r w:rsidRPr="00D266F6">
        <w:rPr>
          <w:rFonts w:ascii="Tahoma" w:hAnsi="Tahoma" w:cs="Tahoma"/>
          <w:sz w:val="22"/>
          <w:szCs w:val="22"/>
        </w:rPr>
        <w:t>Su personal, a quien le dan bonificaciones por cada proceso de selección adjudicado, originó que los hechos sucedidos se realicen sin su conocimiento y su representante legal se basó en el nivel de confianza. Es decir, fue sorprendida por el actuar de una persona que formó parte de su empresa.</w:t>
      </w:r>
    </w:p>
    <w:p w:rsidR="00EB1CAB" w:rsidRPr="00D266F6" w:rsidRDefault="00EB1CAB" w:rsidP="00EB1CAB">
      <w:pPr>
        <w:pStyle w:val="Prrafodelista"/>
        <w:tabs>
          <w:tab w:val="left" w:pos="567"/>
        </w:tabs>
        <w:ind w:left="0"/>
        <w:jc w:val="both"/>
        <w:rPr>
          <w:rFonts w:ascii="Tahoma" w:hAnsi="Tahoma" w:cs="Tahoma"/>
          <w:sz w:val="22"/>
          <w:szCs w:val="22"/>
        </w:rPr>
      </w:pPr>
    </w:p>
    <w:p w:rsidR="00EB1CAB" w:rsidRPr="00D266F6" w:rsidRDefault="00EB1CAB" w:rsidP="00EB1CAB">
      <w:pPr>
        <w:pStyle w:val="Prrafodelista"/>
        <w:numPr>
          <w:ilvl w:val="0"/>
          <w:numId w:val="7"/>
        </w:numPr>
        <w:tabs>
          <w:tab w:val="left" w:pos="567"/>
        </w:tabs>
        <w:jc w:val="both"/>
        <w:rPr>
          <w:rFonts w:ascii="Tahoma" w:hAnsi="Tahoma" w:cs="Tahoma"/>
          <w:sz w:val="22"/>
          <w:szCs w:val="22"/>
        </w:rPr>
      </w:pPr>
      <w:r w:rsidRPr="00D266F6">
        <w:rPr>
          <w:rFonts w:ascii="Tahoma" w:hAnsi="Tahoma" w:cs="Tahoma"/>
          <w:sz w:val="22"/>
          <w:szCs w:val="22"/>
        </w:rPr>
        <w:t xml:space="preserve">No ha existido beneficio ni intención o conocimiento de su representada en dicha conducta, más aún no existe perjuicio económico, existiendo en derecho administrativo el Principio INDUBIO PRO ACTIONE. </w:t>
      </w:r>
    </w:p>
    <w:p w:rsidR="00EB1CAB" w:rsidRPr="00D266F6" w:rsidRDefault="00EB1CAB" w:rsidP="00EB1CAB">
      <w:pPr>
        <w:pStyle w:val="Prrafodelista"/>
        <w:ind w:left="0"/>
        <w:rPr>
          <w:rFonts w:ascii="Tahoma" w:hAnsi="Tahoma" w:cs="Tahoma"/>
          <w:sz w:val="22"/>
          <w:szCs w:val="22"/>
        </w:rPr>
      </w:pPr>
    </w:p>
    <w:p w:rsidR="00EB1CAB" w:rsidRPr="00D266F6" w:rsidRDefault="00EB1CAB" w:rsidP="00EB1CAB">
      <w:pPr>
        <w:numPr>
          <w:ilvl w:val="0"/>
          <w:numId w:val="5"/>
        </w:numPr>
        <w:tabs>
          <w:tab w:val="clear" w:pos="720"/>
          <w:tab w:val="left" w:pos="567"/>
        </w:tabs>
        <w:ind w:left="567" w:hanging="567"/>
        <w:jc w:val="both"/>
        <w:rPr>
          <w:rFonts w:ascii="Tahoma" w:hAnsi="Tahoma" w:cs="Tahoma"/>
          <w:sz w:val="22"/>
          <w:szCs w:val="22"/>
        </w:rPr>
      </w:pPr>
      <w:r w:rsidRPr="00D266F6">
        <w:rPr>
          <w:rFonts w:ascii="Tahoma" w:hAnsi="Tahoma" w:cs="Tahoma"/>
          <w:sz w:val="22"/>
          <w:szCs w:val="22"/>
        </w:rPr>
        <w:t xml:space="preserve">Por escrito del 17 de febrero de 2009 amplió sus descargos señalando que por los mismos hechos fue sancionado con 8 meses de inhabilitación temporal. Asimismo, refiere que para la graduación de la sanción se debe considerar que hay una eventual afectación de su trabajo. Además, reitera que se debe considerar que no se causó perjuicio debiendo graduarse la sanción a su favor </w:t>
      </w:r>
      <w:r w:rsidRPr="00D266F6">
        <w:rPr>
          <w:rFonts w:ascii="Tahoma" w:hAnsi="Tahoma" w:cs="Tahoma"/>
          <w:sz w:val="22"/>
          <w:szCs w:val="22"/>
        </w:rPr>
        <w:lastRenderedPageBreak/>
        <w:t xml:space="preserve">por no existir intencionalidad, por tener la condición de microempresa y por haber reconocido la infracción. </w:t>
      </w:r>
    </w:p>
    <w:p w:rsidR="00EB1CAB" w:rsidRPr="00D266F6" w:rsidRDefault="00EB1CAB" w:rsidP="00EB1CAB">
      <w:pPr>
        <w:tabs>
          <w:tab w:val="left" w:pos="567"/>
        </w:tabs>
        <w:ind w:left="567"/>
        <w:jc w:val="both"/>
        <w:rPr>
          <w:rFonts w:ascii="Tahoma" w:hAnsi="Tahoma" w:cs="Tahoma"/>
          <w:sz w:val="22"/>
          <w:szCs w:val="22"/>
        </w:rPr>
      </w:pPr>
    </w:p>
    <w:p w:rsidR="00EB1CAB" w:rsidRPr="00D266F6" w:rsidRDefault="00EB1CAB" w:rsidP="00EB1CAB">
      <w:pPr>
        <w:numPr>
          <w:ilvl w:val="0"/>
          <w:numId w:val="5"/>
        </w:numPr>
        <w:tabs>
          <w:tab w:val="clear" w:pos="720"/>
          <w:tab w:val="left" w:pos="567"/>
        </w:tabs>
        <w:ind w:left="567" w:hanging="567"/>
        <w:jc w:val="both"/>
        <w:rPr>
          <w:rFonts w:ascii="Tahoma" w:hAnsi="Tahoma" w:cs="Tahoma"/>
          <w:sz w:val="22"/>
          <w:szCs w:val="22"/>
        </w:rPr>
      </w:pPr>
      <w:r w:rsidRPr="00D266F6">
        <w:rPr>
          <w:rFonts w:ascii="Tahoma" w:hAnsi="Tahoma" w:cs="Tahoma"/>
          <w:sz w:val="22"/>
          <w:szCs w:val="22"/>
        </w:rPr>
        <w:t xml:space="preserve">Por escrito presentado el 02 de abril de 2009, el postor reiteró lo alegado en su escrito del 17 de febrero de 2009. </w:t>
      </w:r>
    </w:p>
    <w:p w:rsidR="00EB1CAB" w:rsidRPr="00D266F6" w:rsidRDefault="00EB1CAB" w:rsidP="00EB1CAB">
      <w:pPr>
        <w:tabs>
          <w:tab w:val="left" w:pos="567"/>
        </w:tabs>
        <w:jc w:val="both"/>
        <w:rPr>
          <w:rFonts w:ascii="Tahoma" w:hAnsi="Tahoma" w:cs="Tahoma"/>
          <w:sz w:val="22"/>
          <w:szCs w:val="22"/>
        </w:rPr>
      </w:pPr>
    </w:p>
    <w:p w:rsidR="00EB1CAB" w:rsidRPr="00D266F6" w:rsidRDefault="00EB1CAB" w:rsidP="00EB1CAB">
      <w:pPr>
        <w:numPr>
          <w:ilvl w:val="0"/>
          <w:numId w:val="5"/>
        </w:numPr>
        <w:tabs>
          <w:tab w:val="clear" w:pos="720"/>
          <w:tab w:val="left" w:pos="567"/>
        </w:tabs>
        <w:ind w:left="567" w:hanging="567"/>
        <w:jc w:val="both"/>
        <w:rPr>
          <w:rFonts w:ascii="Tahoma" w:hAnsi="Tahoma" w:cs="Tahoma"/>
          <w:sz w:val="22"/>
          <w:szCs w:val="22"/>
        </w:rPr>
      </w:pPr>
      <w:r w:rsidRPr="00D266F6">
        <w:rPr>
          <w:rFonts w:ascii="Tahoma" w:hAnsi="Tahoma" w:cs="Tahoma"/>
          <w:sz w:val="22"/>
          <w:szCs w:val="22"/>
        </w:rPr>
        <w:t xml:space="preserve">Mediante decreto de fecha 09 de setiembre de 2009, se remitió el expediente a la Cuarta Sala del Tribunal a fin que emita pronunciamiento, atendiendo a que mediante Resolución Nº 102-2009-OSCE/PRE del 01 de abril de 2009, </w:t>
      </w:r>
      <w:r w:rsidRPr="00D266F6">
        <w:rPr>
          <w:rFonts w:ascii="Tahoma" w:eastAsia="Calibri" w:hAnsi="Tahoma" w:cs="Tahoma"/>
          <w:color w:val="000000"/>
          <w:sz w:val="22"/>
          <w:szCs w:val="22"/>
          <w:lang w:eastAsia="en-US"/>
        </w:rPr>
        <w:t xml:space="preserve">ampliada por Resolución Nº 110-2009-OSCE/PRE del 14 de abril de 2009, </w:t>
      </w:r>
      <w:r w:rsidRPr="00D266F6">
        <w:rPr>
          <w:rFonts w:ascii="Tahoma" w:hAnsi="Tahoma" w:cs="Tahoma"/>
          <w:sz w:val="22"/>
          <w:szCs w:val="22"/>
        </w:rPr>
        <w:t>se asignó a la Cuarta Sala del Tribunal de Contrataciones del Estado competencia para conocer los procedimientos administrativos sancionadores a partir del 15 de abril de 2009.</w:t>
      </w:r>
    </w:p>
    <w:p w:rsidR="00EB1CAB" w:rsidRPr="00D266F6" w:rsidRDefault="00EB1CAB" w:rsidP="00EB1CAB">
      <w:pPr>
        <w:tabs>
          <w:tab w:val="left" w:pos="567"/>
        </w:tabs>
        <w:jc w:val="both"/>
        <w:rPr>
          <w:rFonts w:ascii="Tahoma" w:hAnsi="Tahoma" w:cs="Tahoma"/>
          <w:sz w:val="22"/>
          <w:szCs w:val="22"/>
        </w:rPr>
      </w:pPr>
    </w:p>
    <w:p w:rsidR="00EB1CAB" w:rsidRPr="00D266F6" w:rsidRDefault="00EB1CAB" w:rsidP="00EB1CAB">
      <w:pPr>
        <w:numPr>
          <w:ilvl w:val="0"/>
          <w:numId w:val="5"/>
        </w:numPr>
        <w:tabs>
          <w:tab w:val="clear" w:pos="720"/>
          <w:tab w:val="left" w:pos="567"/>
        </w:tabs>
        <w:ind w:left="567" w:hanging="567"/>
        <w:jc w:val="both"/>
        <w:rPr>
          <w:rFonts w:ascii="Tahoma" w:hAnsi="Tahoma" w:cs="Tahoma"/>
          <w:sz w:val="22"/>
          <w:szCs w:val="22"/>
        </w:rPr>
      </w:pPr>
      <w:r w:rsidRPr="00D266F6">
        <w:rPr>
          <w:rFonts w:ascii="Tahoma" w:hAnsi="Tahoma" w:cs="Tahoma"/>
          <w:sz w:val="22"/>
          <w:szCs w:val="22"/>
        </w:rPr>
        <w:t>Mediante escrito del 19 de marzo de 2010, el Postor solicitó se resuelva el expediente administrativo sancionador, dado que según el expediente Nº 1066-2008-S3, se trata del misto tipo de materia y entidad que el presente expediente, resultado del cual se le sancionó por ocho (8) meses de inhabilitación temporal.</w:t>
      </w:r>
    </w:p>
    <w:p w:rsidR="00EB1CAB" w:rsidRPr="00D266F6" w:rsidRDefault="00EB1CAB" w:rsidP="00EB1CAB">
      <w:pPr>
        <w:pStyle w:val="Prrafodelista"/>
        <w:rPr>
          <w:rFonts w:ascii="Tahoma" w:hAnsi="Tahoma" w:cs="Tahoma"/>
          <w:sz w:val="22"/>
          <w:szCs w:val="22"/>
        </w:rPr>
      </w:pPr>
    </w:p>
    <w:p w:rsidR="00EB1CAB" w:rsidRPr="00D266F6" w:rsidRDefault="00EB1CAB" w:rsidP="00EB1CAB">
      <w:pPr>
        <w:numPr>
          <w:ilvl w:val="0"/>
          <w:numId w:val="5"/>
        </w:numPr>
        <w:tabs>
          <w:tab w:val="clear" w:pos="720"/>
          <w:tab w:val="left" w:pos="567"/>
        </w:tabs>
        <w:ind w:left="567" w:hanging="567"/>
        <w:jc w:val="both"/>
        <w:rPr>
          <w:rFonts w:ascii="Tahoma" w:hAnsi="Tahoma" w:cs="Tahoma"/>
          <w:sz w:val="22"/>
          <w:szCs w:val="22"/>
        </w:rPr>
      </w:pPr>
      <w:r w:rsidRPr="00D266F6">
        <w:rPr>
          <w:rFonts w:ascii="Tahoma" w:hAnsi="Tahoma" w:cs="Tahoma"/>
          <w:sz w:val="22"/>
          <w:szCs w:val="22"/>
          <w:lang w:val="es-ES_tradnl"/>
        </w:rPr>
        <w:t xml:space="preserve">Mediante </w:t>
      </w:r>
      <w:r w:rsidRPr="00D266F6">
        <w:rPr>
          <w:rFonts w:ascii="Tahoma" w:hAnsi="Tahoma" w:cs="Tahoma"/>
          <w:sz w:val="22"/>
          <w:szCs w:val="22"/>
        </w:rPr>
        <w:t>Resolución Nº 190-2010-OSCE/PRE, expedida el 29 de marzo de 2010, se reconformó la Cuarta Sala del Tribunal de Contrataciones del Estado.</w:t>
      </w:r>
    </w:p>
    <w:p w:rsidR="00EB1CAB" w:rsidRPr="00D266F6" w:rsidRDefault="00EB1CAB" w:rsidP="00EB1CAB">
      <w:pPr>
        <w:tabs>
          <w:tab w:val="left" w:pos="567"/>
        </w:tabs>
        <w:ind w:left="567"/>
        <w:jc w:val="both"/>
        <w:rPr>
          <w:rFonts w:ascii="Tahoma" w:hAnsi="Tahoma" w:cs="Tahoma"/>
          <w:sz w:val="22"/>
          <w:szCs w:val="22"/>
        </w:rPr>
      </w:pPr>
    </w:p>
    <w:p w:rsidR="00EB1CAB" w:rsidRPr="00D266F6" w:rsidRDefault="00EB1CAB" w:rsidP="00EB1CAB">
      <w:pPr>
        <w:numPr>
          <w:ilvl w:val="0"/>
          <w:numId w:val="5"/>
        </w:numPr>
        <w:tabs>
          <w:tab w:val="clear" w:pos="720"/>
          <w:tab w:val="left" w:pos="567"/>
        </w:tabs>
        <w:ind w:left="567" w:hanging="567"/>
        <w:jc w:val="both"/>
        <w:rPr>
          <w:rFonts w:ascii="Tahoma" w:hAnsi="Tahoma" w:cs="Tahoma"/>
          <w:sz w:val="22"/>
          <w:szCs w:val="22"/>
        </w:rPr>
      </w:pPr>
      <w:r w:rsidRPr="00D266F6">
        <w:rPr>
          <w:rFonts w:ascii="Tahoma" w:hAnsi="Tahoma" w:cs="Tahoma"/>
          <w:sz w:val="22"/>
          <w:szCs w:val="22"/>
        </w:rPr>
        <w:t xml:space="preserve">Con fecha 10 de mayo de 2010, se llevó a cabo la Audiencia Pública en la que ejerció su derecho al uso de la palabra el representante del Postor. </w:t>
      </w:r>
    </w:p>
    <w:p w:rsidR="00EB1CAB" w:rsidRPr="00D266F6" w:rsidRDefault="00EB1CAB" w:rsidP="00EB1CAB">
      <w:pPr>
        <w:pStyle w:val="Prrafodelista"/>
        <w:rPr>
          <w:rFonts w:ascii="Tahoma" w:hAnsi="Tahoma" w:cs="Tahoma"/>
          <w:sz w:val="22"/>
          <w:szCs w:val="22"/>
        </w:rPr>
      </w:pPr>
    </w:p>
    <w:p w:rsidR="00EB1CAB" w:rsidRPr="00D266F6" w:rsidRDefault="00EB1CAB" w:rsidP="00EB1CAB">
      <w:pPr>
        <w:numPr>
          <w:ilvl w:val="0"/>
          <w:numId w:val="5"/>
        </w:numPr>
        <w:tabs>
          <w:tab w:val="clear" w:pos="720"/>
          <w:tab w:val="left" w:pos="567"/>
        </w:tabs>
        <w:ind w:left="567" w:hanging="567"/>
        <w:jc w:val="both"/>
        <w:rPr>
          <w:rFonts w:ascii="Tahoma" w:hAnsi="Tahoma" w:cs="Tahoma"/>
          <w:sz w:val="22"/>
          <w:szCs w:val="22"/>
        </w:rPr>
      </w:pPr>
      <w:r w:rsidRPr="00D266F6">
        <w:rPr>
          <w:rFonts w:ascii="Tahoma" w:hAnsi="Tahoma" w:cs="Tahoma"/>
          <w:sz w:val="22"/>
          <w:szCs w:val="22"/>
        </w:rPr>
        <w:t>Con fecha 12 de mayo de 2010, el Tribunal requirió información adicional al Postor, a fin que remita copia legalizada de los documentos cuestionados.</w:t>
      </w:r>
    </w:p>
    <w:p w:rsidR="00EB1CAB" w:rsidRPr="00D266F6" w:rsidRDefault="00EB1CAB" w:rsidP="00EB1CAB">
      <w:pPr>
        <w:ind w:left="540"/>
        <w:jc w:val="both"/>
        <w:rPr>
          <w:rFonts w:ascii="Tahoma" w:hAnsi="Tahoma" w:cs="Tahoma"/>
          <w:sz w:val="22"/>
          <w:szCs w:val="22"/>
        </w:rPr>
      </w:pPr>
    </w:p>
    <w:p w:rsidR="00EB1CAB" w:rsidRPr="00D266F6" w:rsidRDefault="00EB1CAB" w:rsidP="00EB1CAB">
      <w:pPr>
        <w:ind w:left="540"/>
        <w:jc w:val="both"/>
        <w:rPr>
          <w:rFonts w:ascii="Tahoma" w:hAnsi="Tahoma" w:cs="Tahoma"/>
          <w:sz w:val="22"/>
          <w:szCs w:val="22"/>
        </w:rPr>
      </w:pPr>
    </w:p>
    <w:p w:rsidR="00EB1CAB" w:rsidRPr="00D266F6" w:rsidRDefault="00EB1CAB" w:rsidP="00EB1CAB">
      <w:pPr>
        <w:jc w:val="both"/>
        <w:rPr>
          <w:rFonts w:ascii="Tahoma" w:hAnsi="Tahoma" w:cs="Tahoma"/>
          <w:b/>
          <w:sz w:val="22"/>
          <w:szCs w:val="22"/>
        </w:rPr>
      </w:pPr>
      <w:r w:rsidRPr="00D266F6">
        <w:rPr>
          <w:rFonts w:ascii="Tahoma" w:hAnsi="Tahoma" w:cs="Tahoma"/>
          <w:b/>
          <w:sz w:val="22"/>
          <w:szCs w:val="22"/>
        </w:rPr>
        <w:t>FUNDAMENTACIÓN:</w:t>
      </w:r>
    </w:p>
    <w:p w:rsidR="00EB1CAB" w:rsidRPr="00D266F6" w:rsidRDefault="00EB1CAB" w:rsidP="00EB1CAB">
      <w:pPr>
        <w:pStyle w:val="Sangradetextonormal"/>
        <w:spacing w:after="0"/>
        <w:rPr>
          <w:rFonts w:ascii="Tahoma" w:hAnsi="Tahoma" w:cs="Tahoma"/>
          <w:sz w:val="22"/>
          <w:szCs w:val="22"/>
        </w:rPr>
      </w:pPr>
    </w:p>
    <w:p w:rsidR="00F50865" w:rsidRPr="00D266F6" w:rsidRDefault="00F50865" w:rsidP="00F50865">
      <w:pPr>
        <w:numPr>
          <w:ilvl w:val="0"/>
          <w:numId w:val="4"/>
        </w:numPr>
        <w:tabs>
          <w:tab w:val="clear" w:pos="360"/>
          <w:tab w:val="num" w:pos="0"/>
        </w:tabs>
        <w:ind w:left="567" w:hanging="567"/>
        <w:jc w:val="both"/>
        <w:rPr>
          <w:rFonts w:ascii="Tahoma" w:hAnsi="Tahoma" w:cs="Tahoma"/>
          <w:sz w:val="22"/>
          <w:szCs w:val="22"/>
        </w:rPr>
      </w:pPr>
      <w:r w:rsidRPr="00D266F6">
        <w:rPr>
          <w:rFonts w:ascii="Tahoma" w:hAnsi="Tahoma" w:cs="Tahoma"/>
          <w:sz w:val="22"/>
          <w:szCs w:val="22"/>
        </w:rPr>
        <w:t xml:space="preserve">En el caso de autos el inicio del procedimiento administrativo sancionador contra el postor  ha sido decretado como consecuencia de su supuesta responsabilidad en la comisión de la infracción tipificada en el numeral 9 del artículo 294 del Reglamento de la Ley de Contrataciones y Adquisiciones del Estado, aprobado mediante Decreto Supremo Nº 084-2004-PCM, en adelante el Reglamento, norma aplicable al presente caso.  </w:t>
      </w:r>
    </w:p>
    <w:p w:rsidR="00F50865" w:rsidRPr="00D266F6" w:rsidRDefault="00F50865" w:rsidP="00F50865">
      <w:pPr>
        <w:tabs>
          <w:tab w:val="num" w:pos="0"/>
        </w:tabs>
        <w:ind w:left="567"/>
        <w:jc w:val="both"/>
        <w:rPr>
          <w:rFonts w:ascii="Tahoma" w:hAnsi="Tahoma" w:cs="Tahoma"/>
          <w:sz w:val="22"/>
          <w:szCs w:val="22"/>
        </w:rPr>
      </w:pPr>
    </w:p>
    <w:p w:rsidR="00F50865" w:rsidRPr="00D266F6" w:rsidRDefault="00F50865" w:rsidP="00F50865">
      <w:pPr>
        <w:pStyle w:val="Prrafodelista"/>
        <w:numPr>
          <w:ilvl w:val="0"/>
          <w:numId w:val="4"/>
        </w:numPr>
        <w:tabs>
          <w:tab w:val="clear" w:pos="360"/>
          <w:tab w:val="num" w:pos="0"/>
          <w:tab w:val="num" w:pos="142"/>
        </w:tabs>
        <w:ind w:left="567" w:hanging="567"/>
        <w:contextualSpacing/>
        <w:jc w:val="both"/>
        <w:rPr>
          <w:rFonts w:ascii="Tahoma" w:hAnsi="Tahoma" w:cs="Tahoma"/>
          <w:sz w:val="22"/>
          <w:szCs w:val="22"/>
        </w:rPr>
      </w:pPr>
      <w:r w:rsidRPr="00D266F6">
        <w:rPr>
          <w:rFonts w:ascii="Tahoma" w:hAnsi="Tahoma" w:cs="Tahoma"/>
          <w:sz w:val="22"/>
          <w:szCs w:val="22"/>
        </w:rPr>
        <w:t>El presente procedimiento administrativo sancionador ha sido iniciado contra el postor</w:t>
      </w:r>
      <w:r w:rsidRPr="00D266F6">
        <w:rPr>
          <w:rFonts w:ascii="Tahoma" w:hAnsi="Tahoma" w:cs="Tahoma"/>
          <w:bCs/>
          <w:sz w:val="22"/>
          <w:szCs w:val="22"/>
        </w:rPr>
        <w:t xml:space="preserve"> </w:t>
      </w:r>
      <w:r w:rsidRPr="00D266F6">
        <w:rPr>
          <w:rFonts w:ascii="Tahoma" w:hAnsi="Tahoma" w:cs="Tahoma"/>
          <w:sz w:val="22"/>
          <w:szCs w:val="22"/>
        </w:rPr>
        <w:t xml:space="preserve"> respecto de la presentación de documentación falsa y/o información inexacta consistente en las Facturas Nº 001-000405, Nº 001-000454, Nº 001-000388 y Nº 001-000384.</w:t>
      </w:r>
    </w:p>
    <w:p w:rsidR="00F50865" w:rsidRPr="00D266F6" w:rsidRDefault="00F50865" w:rsidP="00F50865">
      <w:pPr>
        <w:pStyle w:val="Prrafodelista"/>
        <w:rPr>
          <w:rFonts w:ascii="Tahoma" w:hAnsi="Tahoma" w:cs="Tahoma"/>
          <w:sz w:val="22"/>
          <w:szCs w:val="22"/>
          <w:lang w:val="es-PE"/>
        </w:rPr>
      </w:pPr>
    </w:p>
    <w:p w:rsidR="00F50865" w:rsidRPr="00D266F6" w:rsidRDefault="00F50865" w:rsidP="00F50865">
      <w:pPr>
        <w:pStyle w:val="Prrafodelista"/>
        <w:numPr>
          <w:ilvl w:val="0"/>
          <w:numId w:val="4"/>
        </w:numPr>
        <w:tabs>
          <w:tab w:val="clear" w:pos="360"/>
          <w:tab w:val="num" w:pos="0"/>
          <w:tab w:val="num" w:pos="142"/>
        </w:tabs>
        <w:ind w:left="567" w:hanging="567"/>
        <w:contextualSpacing/>
        <w:jc w:val="both"/>
        <w:rPr>
          <w:rFonts w:ascii="Tahoma" w:hAnsi="Tahoma" w:cs="Tahoma"/>
          <w:sz w:val="22"/>
          <w:szCs w:val="22"/>
        </w:rPr>
      </w:pPr>
      <w:r w:rsidRPr="00D266F6">
        <w:rPr>
          <w:rFonts w:ascii="Tahoma" w:hAnsi="Tahoma" w:cs="Tahoma"/>
          <w:sz w:val="22"/>
          <w:szCs w:val="22"/>
          <w:lang w:val="es-PE"/>
        </w:rPr>
        <w:lastRenderedPageBreak/>
        <w:t>Habiéndose advertido que el presente proceso deriva de un proceso de selección por Competencia Menor, resulta pertinente evaluar el marco normativo que rige el citado proceso, a fin de determinar la competencia de este Tribunal  para conocer la denuncia presentada por la Entidad.</w:t>
      </w:r>
    </w:p>
    <w:p w:rsidR="00F50865" w:rsidRPr="00D266F6" w:rsidRDefault="00F50865" w:rsidP="00F50865">
      <w:pPr>
        <w:pStyle w:val="Prrafodelista"/>
        <w:rPr>
          <w:rFonts w:ascii="Tahoma" w:hAnsi="Tahoma" w:cs="Tahoma"/>
          <w:sz w:val="22"/>
          <w:szCs w:val="22"/>
          <w:lang w:val="es-PE"/>
        </w:rPr>
      </w:pPr>
    </w:p>
    <w:p w:rsidR="00F50865" w:rsidRPr="00D266F6" w:rsidRDefault="00F50865" w:rsidP="00F50865">
      <w:pPr>
        <w:pStyle w:val="Prrafodelista"/>
        <w:numPr>
          <w:ilvl w:val="0"/>
          <w:numId w:val="4"/>
        </w:numPr>
        <w:tabs>
          <w:tab w:val="clear" w:pos="360"/>
          <w:tab w:val="num" w:pos="0"/>
          <w:tab w:val="num" w:pos="142"/>
        </w:tabs>
        <w:ind w:left="567" w:hanging="567"/>
        <w:contextualSpacing/>
        <w:jc w:val="both"/>
        <w:rPr>
          <w:rFonts w:ascii="Tahoma" w:hAnsi="Tahoma" w:cs="Tahoma"/>
          <w:sz w:val="22"/>
          <w:szCs w:val="22"/>
        </w:rPr>
      </w:pPr>
      <w:r w:rsidRPr="00D266F6">
        <w:rPr>
          <w:rFonts w:ascii="Tahoma" w:hAnsi="Tahoma" w:cs="Tahoma"/>
          <w:sz w:val="22"/>
          <w:szCs w:val="22"/>
          <w:lang w:val="es-PE"/>
        </w:rPr>
        <w:t>Mediante Ley Nº 28840</w:t>
      </w:r>
      <w:r w:rsidRPr="00D266F6">
        <w:rPr>
          <w:rFonts w:ascii="Tahoma" w:hAnsi="Tahoma" w:cs="Tahoma"/>
          <w:sz w:val="22"/>
          <w:szCs w:val="22"/>
          <w:vertAlign w:val="superscript"/>
          <w:lang w:val="es-PE"/>
        </w:rPr>
        <w:footnoteReference w:id="2"/>
      </w:r>
      <w:r w:rsidRPr="00D266F6">
        <w:rPr>
          <w:rFonts w:ascii="Tahoma" w:hAnsi="Tahoma" w:cs="Tahoma"/>
          <w:sz w:val="22"/>
          <w:szCs w:val="22"/>
          <w:lang w:val="es-PE"/>
        </w:rPr>
        <w:t xml:space="preserve"> se declaró de interés nacional el fortalecimiento y modernización de Petróleos del Perú S.A.-PETROPERÚ, en lo sucesivo PETROPERÚ, estableciéndose que sus actividades deben desarrollarse en el marco de dicha Ley, su Ley Orgánica, el Decreto Legislativo Nº 43 y su modificatoria, la Ley Nº 26224, su Estatuto Social y supletoriamente por las disposiciones de la Ley General de Sociedades.</w:t>
      </w:r>
    </w:p>
    <w:p w:rsidR="00F50865" w:rsidRPr="00D266F6" w:rsidRDefault="00F50865" w:rsidP="00F50865">
      <w:pPr>
        <w:pStyle w:val="Prrafodelista"/>
        <w:rPr>
          <w:rFonts w:ascii="Tahoma" w:hAnsi="Tahoma" w:cs="Tahoma"/>
          <w:sz w:val="22"/>
          <w:szCs w:val="22"/>
          <w:lang w:val="es-PE"/>
        </w:rPr>
      </w:pPr>
    </w:p>
    <w:p w:rsidR="00F50865" w:rsidRPr="00D266F6" w:rsidRDefault="00F50865" w:rsidP="00F50865">
      <w:pPr>
        <w:pStyle w:val="Prrafodelista"/>
        <w:numPr>
          <w:ilvl w:val="0"/>
          <w:numId w:val="4"/>
        </w:numPr>
        <w:tabs>
          <w:tab w:val="clear" w:pos="360"/>
          <w:tab w:val="num" w:pos="0"/>
          <w:tab w:val="num" w:pos="142"/>
        </w:tabs>
        <w:ind w:left="567" w:hanging="567"/>
        <w:contextualSpacing/>
        <w:jc w:val="both"/>
        <w:rPr>
          <w:rFonts w:ascii="Tahoma" w:hAnsi="Tahoma" w:cs="Tahoma"/>
          <w:sz w:val="22"/>
          <w:szCs w:val="22"/>
        </w:rPr>
      </w:pPr>
      <w:r w:rsidRPr="00D266F6">
        <w:rPr>
          <w:rFonts w:ascii="Tahoma" w:hAnsi="Tahoma" w:cs="Tahoma"/>
          <w:sz w:val="22"/>
          <w:szCs w:val="22"/>
          <w:lang w:val="es-PE"/>
        </w:rPr>
        <w:t xml:space="preserve">La Segunda Disposición Complementaria de la Ley Nº 28840 refiere que las adquisiciones y contrataciones de PETROPERÚ se rigen por su Reglamento, propuesto por su Directorio y aprobado por el OSCE. Asimismo, establece que las modalidades de adquisiciones y contrataciones de PETROPERÚ serán definidas en su Reglamento y se regirán por los principios de eficiencia, economía, transparencia y auditabilidad, así como los demás principios contenidos en la legislación de la materia. </w:t>
      </w:r>
    </w:p>
    <w:p w:rsidR="00F50865" w:rsidRPr="00D266F6" w:rsidRDefault="00F50865" w:rsidP="00F50865">
      <w:pPr>
        <w:pStyle w:val="Prrafodelista"/>
        <w:rPr>
          <w:rFonts w:ascii="Tahoma" w:hAnsi="Tahoma" w:cs="Tahoma"/>
          <w:sz w:val="22"/>
          <w:szCs w:val="22"/>
          <w:lang w:val="es-PE"/>
        </w:rPr>
      </w:pPr>
    </w:p>
    <w:p w:rsidR="00F50865" w:rsidRPr="00D266F6" w:rsidRDefault="00F50865" w:rsidP="00F50865">
      <w:pPr>
        <w:pStyle w:val="Prrafodelista"/>
        <w:numPr>
          <w:ilvl w:val="0"/>
          <w:numId w:val="4"/>
        </w:numPr>
        <w:tabs>
          <w:tab w:val="clear" w:pos="360"/>
          <w:tab w:val="num" w:pos="0"/>
          <w:tab w:val="num" w:pos="142"/>
        </w:tabs>
        <w:ind w:left="567" w:hanging="567"/>
        <w:contextualSpacing/>
        <w:jc w:val="both"/>
        <w:rPr>
          <w:rFonts w:ascii="Tahoma" w:hAnsi="Tahoma" w:cs="Tahoma"/>
          <w:sz w:val="22"/>
          <w:szCs w:val="22"/>
        </w:rPr>
      </w:pPr>
      <w:r w:rsidRPr="00D266F6">
        <w:rPr>
          <w:rFonts w:ascii="Tahoma" w:hAnsi="Tahoma" w:cs="Tahoma"/>
          <w:sz w:val="22"/>
          <w:szCs w:val="22"/>
          <w:lang w:val="es-PE"/>
        </w:rPr>
        <w:t>En tal sentido, mediante Resolución Nº 456-2006-CONSUCODE/PRE</w:t>
      </w:r>
      <w:r w:rsidRPr="00D266F6">
        <w:rPr>
          <w:rFonts w:ascii="Tahoma" w:hAnsi="Tahoma" w:cs="Tahoma"/>
          <w:sz w:val="22"/>
          <w:szCs w:val="22"/>
          <w:vertAlign w:val="superscript"/>
          <w:lang w:val="es-PE"/>
        </w:rPr>
        <w:footnoteReference w:id="3"/>
      </w:r>
      <w:r w:rsidRPr="00D266F6">
        <w:rPr>
          <w:rFonts w:ascii="Tahoma" w:hAnsi="Tahoma" w:cs="Tahoma"/>
          <w:sz w:val="22"/>
          <w:szCs w:val="22"/>
          <w:lang w:val="es-PE"/>
        </w:rPr>
        <w:t xml:space="preserve"> se aprobó el Reglamento de Adquisiciones y Contrataciones de Petróleos del Perú S.A., en adelante el Reglamento de PETROPERÚ, modificado por Resolución Nº 171-2008-CONSUCODE/PRE</w:t>
      </w:r>
      <w:r w:rsidRPr="00D266F6">
        <w:rPr>
          <w:rFonts w:ascii="Tahoma" w:hAnsi="Tahoma" w:cs="Tahoma"/>
          <w:sz w:val="22"/>
          <w:szCs w:val="22"/>
          <w:vertAlign w:val="superscript"/>
          <w:lang w:val="es-PE"/>
        </w:rPr>
        <w:footnoteReference w:id="4"/>
      </w:r>
      <w:r w:rsidRPr="00D266F6">
        <w:rPr>
          <w:rFonts w:ascii="Tahoma" w:hAnsi="Tahoma" w:cs="Tahoma"/>
          <w:sz w:val="22"/>
          <w:szCs w:val="22"/>
          <w:lang w:val="es-PE"/>
        </w:rPr>
        <w:t>,  el cual tiene como objetivo regular de manera integral y uniforme los procedimientos de adquisiciones de bienes y contrataciones de servicios y obras necesarios para el cumplimiento del objeto social de PETROPERÚ.</w:t>
      </w:r>
    </w:p>
    <w:p w:rsidR="00F50865" w:rsidRPr="00D266F6" w:rsidRDefault="00F50865" w:rsidP="00F50865">
      <w:pPr>
        <w:pStyle w:val="Prrafodelista"/>
        <w:rPr>
          <w:rFonts w:ascii="Tahoma" w:hAnsi="Tahoma" w:cs="Tahoma"/>
          <w:sz w:val="22"/>
          <w:szCs w:val="22"/>
          <w:lang w:val="es-ES_tradnl"/>
        </w:rPr>
      </w:pPr>
    </w:p>
    <w:p w:rsidR="00F50865" w:rsidRPr="00D266F6" w:rsidRDefault="00F50865" w:rsidP="00F50865">
      <w:pPr>
        <w:pStyle w:val="Prrafodelista"/>
        <w:numPr>
          <w:ilvl w:val="0"/>
          <w:numId w:val="4"/>
        </w:numPr>
        <w:tabs>
          <w:tab w:val="clear" w:pos="360"/>
          <w:tab w:val="num" w:pos="0"/>
          <w:tab w:val="num" w:pos="142"/>
        </w:tabs>
        <w:ind w:left="567" w:hanging="567"/>
        <w:contextualSpacing/>
        <w:jc w:val="both"/>
        <w:rPr>
          <w:rFonts w:ascii="Tahoma" w:hAnsi="Tahoma" w:cs="Tahoma"/>
          <w:sz w:val="22"/>
          <w:szCs w:val="22"/>
        </w:rPr>
      </w:pPr>
      <w:r w:rsidRPr="00D266F6">
        <w:rPr>
          <w:rFonts w:ascii="Tahoma" w:hAnsi="Tahoma" w:cs="Tahoma"/>
          <w:sz w:val="22"/>
          <w:szCs w:val="22"/>
          <w:lang w:val="es-ES_tradnl"/>
        </w:rPr>
        <w:t>Asimismo, el numeral 4 del citado Reglamento de PETROPERÚ, dispone que es aplicable el Texto Único Ordenado de la Ley de Contrataciones y Adquisiciones del Estado</w:t>
      </w:r>
      <w:r w:rsidRPr="00D266F6">
        <w:rPr>
          <w:rFonts w:ascii="Tahoma" w:hAnsi="Tahoma" w:cs="Tahoma"/>
          <w:sz w:val="22"/>
          <w:szCs w:val="22"/>
          <w:vertAlign w:val="superscript"/>
          <w:lang w:val="es-ES_tradnl"/>
        </w:rPr>
        <w:footnoteReference w:id="5"/>
      </w:r>
      <w:r w:rsidRPr="00D266F6">
        <w:rPr>
          <w:rFonts w:ascii="Tahoma" w:hAnsi="Tahoma" w:cs="Tahoma"/>
          <w:sz w:val="22"/>
          <w:szCs w:val="22"/>
          <w:lang w:val="es-ES_tradnl"/>
        </w:rPr>
        <w:t xml:space="preserve"> y sus modificatorias, en lo que resulte aplicable en los aspectos referidos al Registro Nacional de Proveedores (RNP), Sistema Electrónico de Adquisiciones y Contrataciones del Estado (SEACE)</w:t>
      </w:r>
      <w:r w:rsidRPr="00D266F6">
        <w:rPr>
          <w:rFonts w:ascii="Tahoma" w:hAnsi="Tahoma" w:cs="Tahoma"/>
          <w:sz w:val="22"/>
          <w:szCs w:val="22"/>
          <w:vertAlign w:val="superscript"/>
          <w:lang w:val="es-ES_tradnl"/>
        </w:rPr>
        <w:footnoteReference w:id="6"/>
      </w:r>
      <w:r w:rsidRPr="00D266F6">
        <w:rPr>
          <w:rFonts w:ascii="Tahoma" w:hAnsi="Tahoma" w:cs="Tahoma"/>
          <w:sz w:val="22"/>
          <w:szCs w:val="22"/>
          <w:lang w:val="es-ES_tradnl"/>
        </w:rPr>
        <w:t xml:space="preserve">, recursos de impugnación y </w:t>
      </w:r>
      <w:r w:rsidRPr="00D266F6">
        <w:rPr>
          <w:rFonts w:ascii="Tahoma" w:hAnsi="Tahoma" w:cs="Tahoma"/>
          <w:b/>
          <w:sz w:val="22"/>
          <w:szCs w:val="22"/>
          <w:lang w:val="es-ES_tradnl"/>
        </w:rPr>
        <w:t xml:space="preserve">procedimientos administrativos sancionadores que se tramitan ante el Tribunal de Contrataciones y Adquisiciones del Estado. </w:t>
      </w:r>
      <w:r w:rsidRPr="00D266F6">
        <w:rPr>
          <w:rFonts w:ascii="Tahoma" w:hAnsi="Tahoma" w:cs="Tahoma"/>
          <w:sz w:val="22"/>
          <w:szCs w:val="22"/>
          <w:lang w:val="es-ES_tradnl"/>
        </w:rPr>
        <w:t>(El resaltado es nuestro).</w:t>
      </w:r>
      <w:r w:rsidRPr="00D266F6">
        <w:rPr>
          <w:rFonts w:ascii="Tahoma" w:hAnsi="Tahoma" w:cs="Tahoma"/>
          <w:b/>
          <w:sz w:val="22"/>
          <w:szCs w:val="22"/>
          <w:lang w:val="es-ES_tradnl"/>
        </w:rPr>
        <w:t xml:space="preserve"> </w:t>
      </w:r>
    </w:p>
    <w:p w:rsidR="00F50865" w:rsidRPr="00D266F6" w:rsidRDefault="00F50865" w:rsidP="00F50865">
      <w:pPr>
        <w:pStyle w:val="Prrafodelista"/>
        <w:rPr>
          <w:rFonts w:ascii="Tahoma" w:hAnsi="Tahoma" w:cs="Tahoma"/>
          <w:sz w:val="22"/>
          <w:szCs w:val="22"/>
          <w:lang w:val="es-ES_tradnl"/>
        </w:rPr>
      </w:pPr>
    </w:p>
    <w:p w:rsidR="00F50865" w:rsidRPr="00D266F6" w:rsidRDefault="00F50865" w:rsidP="00F50865">
      <w:pPr>
        <w:pStyle w:val="Prrafodelista"/>
        <w:numPr>
          <w:ilvl w:val="0"/>
          <w:numId w:val="4"/>
        </w:numPr>
        <w:tabs>
          <w:tab w:val="clear" w:pos="360"/>
          <w:tab w:val="num" w:pos="0"/>
          <w:tab w:val="num" w:pos="142"/>
        </w:tabs>
        <w:ind w:left="567" w:hanging="567"/>
        <w:contextualSpacing/>
        <w:jc w:val="both"/>
        <w:rPr>
          <w:rFonts w:ascii="Tahoma" w:hAnsi="Tahoma" w:cs="Tahoma"/>
          <w:sz w:val="22"/>
          <w:szCs w:val="22"/>
        </w:rPr>
      </w:pPr>
      <w:r w:rsidRPr="00D266F6">
        <w:rPr>
          <w:rFonts w:ascii="Tahoma" w:hAnsi="Tahoma" w:cs="Tahoma"/>
          <w:sz w:val="22"/>
          <w:szCs w:val="22"/>
          <w:lang w:val="es-ES_tradnl"/>
        </w:rPr>
        <w:lastRenderedPageBreak/>
        <w:t>Por estas consideraciones, este Colegiado resulta</w:t>
      </w:r>
      <w:r w:rsidRPr="00D266F6">
        <w:rPr>
          <w:rFonts w:ascii="Tahoma" w:hAnsi="Tahoma" w:cs="Tahoma"/>
          <w:b/>
          <w:sz w:val="22"/>
          <w:szCs w:val="22"/>
          <w:lang w:val="es-ES_tradnl"/>
        </w:rPr>
        <w:t xml:space="preserve"> </w:t>
      </w:r>
      <w:r w:rsidRPr="00D266F6">
        <w:rPr>
          <w:rFonts w:ascii="Tahoma" w:hAnsi="Tahoma" w:cs="Tahoma"/>
          <w:sz w:val="22"/>
          <w:szCs w:val="22"/>
          <w:lang w:val="es-PE"/>
        </w:rPr>
        <w:t>competente para pronunciarse sobre la supuesta responsabilidad de la Contratista,</w:t>
      </w:r>
      <w:r w:rsidRPr="00D266F6">
        <w:rPr>
          <w:rFonts w:ascii="Tahoma" w:hAnsi="Tahoma" w:cs="Tahoma"/>
          <w:sz w:val="22"/>
          <w:szCs w:val="22"/>
        </w:rPr>
        <w:t xml:space="preserve"> por la presentación de documentación falsa y/o información inexacta, infracción prevista en el numeral 9) del artículo 294</w:t>
      </w:r>
      <w:hyperlink r:id="rId7" w:anchor="_ftn2#_ftn2" w:history="1"/>
      <w:r w:rsidRPr="00D266F6">
        <w:rPr>
          <w:rFonts w:ascii="Tahoma" w:hAnsi="Tahoma" w:cs="Tahoma"/>
          <w:sz w:val="22"/>
          <w:szCs w:val="22"/>
        </w:rPr>
        <w:t xml:space="preserve"> del Reglamento</w:t>
      </w:r>
      <w:r w:rsidRPr="00D266F6">
        <w:rPr>
          <w:rStyle w:val="Refdenotaalpie"/>
          <w:rFonts w:ascii="Tahoma" w:eastAsia="MS Mincho" w:hAnsi="Tahoma" w:cs="Tahoma"/>
          <w:sz w:val="22"/>
          <w:szCs w:val="22"/>
        </w:rPr>
        <w:footnoteReference w:id="7"/>
      </w:r>
      <w:r w:rsidRPr="00D266F6">
        <w:rPr>
          <w:rFonts w:ascii="Tahoma" w:hAnsi="Tahoma" w:cs="Tahoma"/>
          <w:sz w:val="22"/>
          <w:szCs w:val="22"/>
        </w:rPr>
        <w:t xml:space="preserve">. </w:t>
      </w:r>
    </w:p>
    <w:p w:rsidR="00F50865" w:rsidRPr="00D266F6" w:rsidRDefault="00F50865" w:rsidP="00F50865">
      <w:pPr>
        <w:pStyle w:val="Prrafodelista"/>
        <w:tabs>
          <w:tab w:val="num" w:pos="0"/>
        </w:tabs>
        <w:ind w:left="567" w:hanging="567"/>
        <w:rPr>
          <w:rFonts w:ascii="Tahoma" w:hAnsi="Tahoma" w:cs="Tahoma"/>
          <w:sz w:val="22"/>
          <w:szCs w:val="22"/>
        </w:rPr>
      </w:pPr>
    </w:p>
    <w:p w:rsidR="00F50865" w:rsidRPr="00D266F6" w:rsidRDefault="00F50865" w:rsidP="00F50865">
      <w:pPr>
        <w:pStyle w:val="Prrafodelista"/>
        <w:numPr>
          <w:ilvl w:val="0"/>
          <w:numId w:val="4"/>
        </w:numPr>
        <w:tabs>
          <w:tab w:val="clear" w:pos="360"/>
          <w:tab w:val="num" w:pos="0"/>
        </w:tabs>
        <w:ind w:left="567" w:hanging="567"/>
        <w:contextualSpacing/>
        <w:jc w:val="both"/>
        <w:rPr>
          <w:rFonts w:ascii="Tahoma" w:hAnsi="Tahoma" w:cs="Tahoma"/>
          <w:sz w:val="22"/>
          <w:szCs w:val="22"/>
        </w:rPr>
      </w:pPr>
      <w:r w:rsidRPr="00D266F6">
        <w:rPr>
          <w:rFonts w:ascii="Tahoma" w:hAnsi="Tahoma" w:cs="Tahoma"/>
          <w:sz w:val="22"/>
          <w:szCs w:val="22"/>
        </w:rPr>
        <w:t>Con relación a ello, la infracción imputada al Postor corresponde a la señalada en el numeral 9) del artículo 294 del Reglamento</w:t>
      </w:r>
      <w:r w:rsidRPr="00D266F6">
        <w:rPr>
          <w:rStyle w:val="Refdenotaalpie"/>
          <w:rFonts w:ascii="Tahoma" w:hAnsi="Tahoma" w:cs="Tahoma"/>
          <w:sz w:val="22"/>
          <w:szCs w:val="22"/>
        </w:rPr>
        <w:footnoteReference w:id="8"/>
      </w:r>
      <w:r w:rsidRPr="00D266F6">
        <w:rPr>
          <w:rFonts w:ascii="Tahoma" w:hAnsi="Tahoma" w:cs="Tahoma"/>
          <w:sz w:val="22"/>
          <w:szCs w:val="22"/>
        </w:rPr>
        <w:t xml:space="preserve">, la cual se configura con la sola presentación de documentos falsos y/o inexactos ante la Entidad o el CONSUCODE, es decir con la sola afectación del </w:t>
      </w:r>
      <w:r w:rsidRPr="00D266F6">
        <w:rPr>
          <w:rFonts w:ascii="Tahoma" w:hAnsi="Tahoma" w:cs="Tahoma"/>
          <w:i/>
          <w:sz w:val="22"/>
          <w:szCs w:val="22"/>
        </w:rPr>
        <w:t>Principio de Presunción de Veracidad</w:t>
      </w:r>
      <w:r w:rsidRPr="00D266F6">
        <w:rPr>
          <w:rStyle w:val="Refdenotaalpie"/>
          <w:rFonts w:ascii="Tahoma" w:hAnsi="Tahoma" w:cs="Tahoma"/>
          <w:sz w:val="22"/>
          <w:szCs w:val="22"/>
        </w:rPr>
        <w:footnoteReference w:id="9"/>
      </w:r>
      <w:r w:rsidRPr="00D266F6">
        <w:rPr>
          <w:rFonts w:ascii="Tahoma" w:hAnsi="Tahoma" w:cs="Tahoma"/>
          <w:sz w:val="22"/>
          <w:szCs w:val="22"/>
        </w:rPr>
        <w:t xml:space="preserve"> consagrado en el acápite 1.7 del Artículo IV del Título Preliminar de la Ley Nº 27444, del Procedimiento Administrativo General, sin que la norma exija otros factores adicionales, por cuanto la Administración Pública presume que todos los documentos y declaraciones formuladas por los administrados responden a la verdad de los hechos que ellos afirman. </w:t>
      </w:r>
    </w:p>
    <w:p w:rsidR="00F50865" w:rsidRPr="00D266F6" w:rsidRDefault="00F50865" w:rsidP="00F50865">
      <w:pPr>
        <w:tabs>
          <w:tab w:val="num" w:pos="0"/>
        </w:tabs>
        <w:jc w:val="both"/>
        <w:rPr>
          <w:rFonts w:ascii="Tahoma" w:hAnsi="Tahoma" w:cs="Tahoma"/>
          <w:sz w:val="22"/>
          <w:szCs w:val="22"/>
        </w:rPr>
      </w:pPr>
    </w:p>
    <w:p w:rsidR="00F50865" w:rsidRPr="00D266F6" w:rsidRDefault="00F50865" w:rsidP="00F50865">
      <w:pPr>
        <w:numPr>
          <w:ilvl w:val="0"/>
          <w:numId w:val="4"/>
        </w:numPr>
        <w:tabs>
          <w:tab w:val="clear" w:pos="360"/>
          <w:tab w:val="num" w:pos="0"/>
        </w:tabs>
        <w:ind w:left="567" w:hanging="567"/>
        <w:jc w:val="both"/>
        <w:rPr>
          <w:rFonts w:ascii="Tahoma" w:hAnsi="Tahoma" w:cs="Tahoma"/>
          <w:sz w:val="22"/>
          <w:szCs w:val="22"/>
        </w:rPr>
      </w:pPr>
      <w:r w:rsidRPr="00D266F6">
        <w:rPr>
          <w:rFonts w:ascii="Tahoma" w:hAnsi="Tahoma" w:cs="Tahoma"/>
          <w:sz w:val="22"/>
          <w:szCs w:val="22"/>
        </w:rPr>
        <w:t xml:space="preserve">Asimismo, </w:t>
      </w:r>
      <w:r w:rsidRPr="00D266F6">
        <w:rPr>
          <w:rFonts w:ascii="Tahoma" w:hAnsi="Tahoma" w:cs="Tahoma"/>
          <w:sz w:val="22"/>
          <w:szCs w:val="22"/>
          <w:lang w:val="es-MX"/>
        </w:rPr>
        <w:t xml:space="preserve">el artículo 42 de </w:t>
      </w:r>
      <w:smartTag w:uri="urn:schemas-microsoft-com:office:smarttags" w:element="PersonName">
        <w:smartTagPr>
          <w:attr w:name="ProductID" w:val="la Ley"/>
        </w:smartTagPr>
        <w:r w:rsidRPr="00D266F6">
          <w:rPr>
            <w:rFonts w:ascii="Tahoma" w:hAnsi="Tahoma" w:cs="Tahoma"/>
            <w:sz w:val="22"/>
            <w:szCs w:val="22"/>
            <w:lang w:val="es-MX"/>
          </w:rPr>
          <w:t>la Ley</w:t>
        </w:r>
      </w:smartTag>
      <w:r w:rsidRPr="00D266F6">
        <w:rPr>
          <w:rFonts w:ascii="Tahoma" w:hAnsi="Tahoma" w:cs="Tahoma"/>
          <w:sz w:val="22"/>
          <w:szCs w:val="22"/>
          <w:lang w:val="es-MX"/>
        </w:rPr>
        <w:t xml:space="preserve"> de Procedimiento Administrativo General establece que todas las declaraciones juradas, los documentos sucedáneos presentados y la información incluida en los escritos y formularios que presenten los administrados para la realización de procedimientos administrativos, </w:t>
      </w:r>
      <w:r w:rsidRPr="00D266F6">
        <w:rPr>
          <w:rFonts w:ascii="Tahoma" w:hAnsi="Tahoma" w:cs="Tahoma"/>
          <w:b/>
          <w:sz w:val="22"/>
          <w:szCs w:val="22"/>
          <w:lang w:val="es-MX"/>
        </w:rPr>
        <w:t>se presumen verificados por quien hace uso de ellos, así como de contenido veraz para fines del procedimiento administrativo</w:t>
      </w:r>
      <w:r w:rsidRPr="00D266F6">
        <w:rPr>
          <w:rFonts w:ascii="Tahoma" w:hAnsi="Tahoma" w:cs="Tahoma"/>
          <w:sz w:val="22"/>
          <w:szCs w:val="22"/>
          <w:lang w:val="es-MX"/>
        </w:rPr>
        <w:t xml:space="preserve">. Sin embargo, esta presunción es de índole </w:t>
      </w:r>
      <w:r w:rsidRPr="00D266F6">
        <w:rPr>
          <w:rFonts w:ascii="Tahoma" w:hAnsi="Tahoma" w:cs="Tahoma"/>
          <w:i/>
          <w:sz w:val="22"/>
          <w:szCs w:val="22"/>
          <w:lang w:val="es-MX"/>
        </w:rPr>
        <w:t>juris tantum</w:t>
      </w:r>
      <w:r w:rsidRPr="00D266F6">
        <w:rPr>
          <w:rFonts w:ascii="Tahoma" w:hAnsi="Tahoma" w:cs="Tahoma"/>
          <w:sz w:val="22"/>
          <w:szCs w:val="22"/>
          <w:lang w:val="es-MX"/>
        </w:rPr>
        <w:t xml:space="preserve"> pues admite prueba en contrario, en la medida que es atribución de </w:t>
      </w:r>
      <w:smartTag w:uri="urn:schemas-microsoft-com:office:smarttags" w:element="PersonName">
        <w:smartTagPr>
          <w:attr w:name="ProductID" w:val="la Administración Pública"/>
        </w:smartTagPr>
        <w:r w:rsidRPr="00D266F6">
          <w:rPr>
            <w:rFonts w:ascii="Tahoma" w:hAnsi="Tahoma" w:cs="Tahoma"/>
            <w:sz w:val="22"/>
            <w:szCs w:val="22"/>
            <w:lang w:val="es-MX"/>
          </w:rPr>
          <w:t>la Administración Pública</w:t>
        </w:r>
      </w:smartTag>
      <w:r w:rsidRPr="00D266F6">
        <w:rPr>
          <w:rFonts w:ascii="Tahoma" w:hAnsi="Tahoma" w:cs="Tahoma"/>
          <w:sz w:val="22"/>
          <w:szCs w:val="22"/>
          <w:lang w:val="es-MX"/>
        </w:rPr>
        <w:t xml:space="preserve"> verificar la documentación presentada cuando existen indicios suficientes de que la información consignada no se ajusta a los hechos.</w:t>
      </w:r>
    </w:p>
    <w:p w:rsidR="00F50865" w:rsidRPr="00D266F6" w:rsidRDefault="00F50865" w:rsidP="00F50865">
      <w:pPr>
        <w:tabs>
          <w:tab w:val="num" w:pos="0"/>
          <w:tab w:val="num" w:pos="540"/>
        </w:tabs>
        <w:ind w:left="567" w:hanging="567"/>
        <w:jc w:val="both"/>
        <w:rPr>
          <w:rFonts w:ascii="Tahoma" w:hAnsi="Tahoma" w:cs="Tahoma"/>
          <w:sz w:val="22"/>
          <w:szCs w:val="22"/>
        </w:rPr>
      </w:pPr>
    </w:p>
    <w:p w:rsidR="00F50865" w:rsidRPr="00D266F6" w:rsidRDefault="00F50865" w:rsidP="00F50865">
      <w:pPr>
        <w:pStyle w:val="Sangradetextonormal"/>
        <w:numPr>
          <w:ilvl w:val="0"/>
          <w:numId w:val="4"/>
        </w:numPr>
        <w:tabs>
          <w:tab w:val="clear" w:pos="360"/>
          <w:tab w:val="left" w:pos="0"/>
        </w:tabs>
        <w:spacing w:after="0"/>
        <w:ind w:left="567" w:hanging="567"/>
        <w:jc w:val="both"/>
        <w:rPr>
          <w:rFonts w:ascii="Tahoma" w:hAnsi="Tahoma" w:cs="Tahoma"/>
          <w:sz w:val="22"/>
          <w:szCs w:val="22"/>
        </w:rPr>
      </w:pPr>
      <w:r w:rsidRPr="00D266F6">
        <w:rPr>
          <w:rFonts w:ascii="Tahoma" w:hAnsi="Tahoma" w:cs="Tahoma"/>
          <w:sz w:val="22"/>
          <w:szCs w:val="22"/>
        </w:rPr>
        <w:t xml:space="preserve">Ahora bien, para la configuración del supuesto de presentación de documentación falsa, se requiere previamente acreditar su falsedad, esto es que el documento o los documentos cuestionados no hayan sido expedidos por </w:t>
      </w:r>
      <w:r w:rsidRPr="00D266F6">
        <w:rPr>
          <w:rFonts w:ascii="Tahoma" w:hAnsi="Tahoma" w:cs="Tahoma"/>
          <w:sz w:val="22"/>
          <w:szCs w:val="22"/>
        </w:rPr>
        <w:lastRenderedPageBreak/>
        <w:t xml:space="preserve">el órgano o agente emisor o que, siendo válidamente expedidos, hayan sido adulterados en su contenido. </w:t>
      </w:r>
    </w:p>
    <w:p w:rsidR="00F50865" w:rsidRPr="00D266F6" w:rsidRDefault="00F50865" w:rsidP="00F50865">
      <w:pPr>
        <w:pStyle w:val="Prrafodelista"/>
        <w:rPr>
          <w:rFonts w:ascii="Tahoma" w:hAnsi="Tahoma" w:cs="Tahoma"/>
          <w:sz w:val="22"/>
          <w:szCs w:val="22"/>
        </w:rPr>
      </w:pPr>
    </w:p>
    <w:p w:rsidR="00F50865" w:rsidRPr="00D266F6" w:rsidRDefault="00F50865" w:rsidP="00F50865">
      <w:pPr>
        <w:pStyle w:val="Sangradetextonormal"/>
        <w:tabs>
          <w:tab w:val="left" w:pos="0"/>
        </w:tabs>
        <w:ind w:left="567"/>
        <w:jc w:val="both"/>
        <w:rPr>
          <w:rFonts w:ascii="Tahoma" w:hAnsi="Tahoma" w:cs="Tahoma"/>
          <w:sz w:val="22"/>
          <w:szCs w:val="22"/>
        </w:rPr>
      </w:pPr>
      <w:r w:rsidRPr="00D266F6">
        <w:rPr>
          <w:rFonts w:ascii="Tahoma" w:hAnsi="Tahoma" w:cs="Tahoma"/>
          <w:sz w:val="22"/>
          <w:szCs w:val="22"/>
        </w:rPr>
        <w:t xml:space="preserve">Por otro lado, la infracción referida a información inexacta se configura ante presentación de documentos no concordantes con la realidad, que constituye una forma de falseamiento de la misma, a través del quebrantamiento de los </w:t>
      </w:r>
      <w:r w:rsidRPr="00D266F6">
        <w:rPr>
          <w:rFonts w:ascii="Tahoma" w:hAnsi="Tahoma" w:cs="Tahoma"/>
          <w:i/>
          <w:sz w:val="22"/>
          <w:szCs w:val="22"/>
        </w:rPr>
        <w:t>Principios de Presunción de Veracidad</w:t>
      </w:r>
      <w:r w:rsidRPr="00D266F6">
        <w:rPr>
          <w:rFonts w:ascii="Tahoma" w:hAnsi="Tahoma" w:cs="Tahoma"/>
          <w:sz w:val="22"/>
          <w:szCs w:val="22"/>
        </w:rPr>
        <w:t xml:space="preserve">  y </w:t>
      </w:r>
      <w:r w:rsidRPr="00D266F6">
        <w:rPr>
          <w:rFonts w:ascii="Tahoma" w:hAnsi="Tahoma" w:cs="Tahoma"/>
          <w:i/>
          <w:sz w:val="22"/>
          <w:szCs w:val="22"/>
        </w:rPr>
        <w:t xml:space="preserve">Moralidad </w:t>
      </w:r>
      <w:r w:rsidRPr="00D266F6">
        <w:rPr>
          <w:rFonts w:ascii="Tahoma" w:hAnsi="Tahoma" w:cs="Tahoma"/>
          <w:sz w:val="22"/>
          <w:szCs w:val="22"/>
        </w:rPr>
        <w:t>que amparan a las referidas declaraciones.</w:t>
      </w:r>
    </w:p>
    <w:p w:rsidR="00F50865" w:rsidRPr="00D266F6" w:rsidRDefault="00F50865" w:rsidP="00F50865">
      <w:pPr>
        <w:pStyle w:val="Sangradetextonormal"/>
        <w:numPr>
          <w:ilvl w:val="0"/>
          <w:numId w:val="4"/>
        </w:numPr>
        <w:tabs>
          <w:tab w:val="clear" w:pos="360"/>
          <w:tab w:val="left" w:pos="0"/>
        </w:tabs>
        <w:spacing w:after="0"/>
        <w:ind w:left="567" w:hanging="567"/>
        <w:jc w:val="both"/>
        <w:rPr>
          <w:rFonts w:ascii="Tahoma" w:hAnsi="Tahoma" w:cs="Tahoma"/>
          <w:sz w:val="22"/>
          <w:szCs w:val="22"/>
        </w:rPr>
      </w:pPr>
      <w:r w:rsidRPr="00D266F6">
        <w:rPr>
          <w:rFonts w:ascii="Tahoma" w:hAnsi="Tahoma" w:cs="Tahoma"/>
          <w:sz w:val="22"/>
          <w:szCs w:val="22"/>
        </w:rPr>
        <w:t>En el caso materia de análisis, la imputación contra el Postor está referida a que éste habría presentado en los folios 36, 38, 39 y 40 como parte de su propuesta técnica, las Facturas Nº 001-000405, Nº 001-000454, Nº 001-000388 y Nº 001-000384 presuntamente falsas, dado que su contenido era distinto a los mismos números de comprobantes de pago que había presentado en el Proceso por Competencia Menor Nº CME-0144-2007-OFP/PETROPERÚ, convocada por la misma Entidad.</w:t>
      </w:r>
    </w:p>
    <w:p w:rsidR="00F50865" w:rsidRPr="00D266F6" w:rsidRDefault="00F50865" w:rsidP="00F50865">
      <w:pPr>
        <w:jc w:val="both"/>
        <w:rPr>
          <w:rFonts w:ascii="Tahoma" w:hAnsi="Tahoma" w:cs="Tahoma"/>
          <w:sz w:val="22"/>
          <w:szCs w:val="22"/>
        </w:rPr>
      </w:pPr>
    </w:p>
    <w:p w:rsidR="00F50865" w:rsidRPr="00D266F6" w:rsidRDefault="00F50865" w:rsidP="00F50865">
      <w:pPr>
        <w:pStyle w:val="Sangradetextonormal"/>
        <w:numPr>
          <w:ilvl w:val="0"/>
          <w:numId w:val="4"/>
        </w:numPr>
        <w:tabs>
          <w:tab w:val="clear" w:pos="360"/>
          <w:tab w:val="left" w:pos="0"/>
        </w:tabs>
        <w:spacing w:after="0"/>
        <w:ind w:left="567" w:hanging="567"/>
        <w:jc w:val="both"/>
        <w:rPr>
          <w:rFonts w:ascii="Tahoma" w:hAnsi="Tahoma" w:cs="Tahoma"/>
          <w:sz w:val="22"/>
          <w:szCs w:val="22"/>
        </w:rPr>
      </w:pPr>
      <w:r w:rsidRPr="00D266F6">
        <w:rPr>
          <w:rFonts w:ascii="Tahoma" w:hAnsi="Tahoma" w:cs="Tahoma"/>
          <w:sz w:val="22"/>
          <w:szCs w:val="22"/>
        </w:rPr>
        <w:t xml:space="preserve">Al respecto, en sus descargos el Postor manifestó que en base a la confianza que le tenía al personal encargado de elaborar la propuesta técnica, quienes reciben bonificaciones por cada proceso de selección adjudicado, fue sorprendida por ellos, quienes cometieron los hechos imputados sin su conocimiento. Es decir, el Postor no obró con intencionalidad ni tuvo conocimiento que estaba presentando documentos falsos o inexactos en el Proceso por Competencia Menor Nº CME-0170-2007-OFP/PETROPERÚ, máxime si no ha existido beneficio alguno ni perjuicio económico, existiendo en derecho administrativo el Principio INDUBIO PRO ACTIONE. </w:t>
      </w:r>
    </w:p>
    <w:p w:rsidR="00F50865" w:rsidRPr="00D266F6" w:rsidRDefault="00F50865" w:rsidP="00F50865">
      <w:pPr>
        <w:pStyle w:val="Prrafodelista"/>
        <w:rPr>
          <w:rFonts w:ascii="Tahoma" w:hAnsi="Tahoma" w:cs="Tahoma"/>
          <w:sz w:val="22"/>
          <w:szCs w:val="22"/>
        </w:rPr>
      </w:pPr>
    </w:p>
    <w:p w:rsidR="00F50865" w:rsidRPr="00D266F6" w:rsidRDefault="00F50865" w:rsidP="00D266F6">
      <w:pPr>
        <w:pStyle w:val="Sangradetextonormal"/>
        <w:tabs>
          <w:tab w:val="left" w:pos="0"/>
        </w:tabs>
        <w:ind w:left="567"/>
        <w:jc w:val="both"/>
        <w:rPr>
          <w:rFonts w:ascii="Tahoma" w:hAnsi="Tahoma" w:cs="Tahoma"/>
          <w:sz w:val="22"/>
          <w:szCs w:val="22"/>
        </w:rPr>
      </w:pPr>
      <w:r w:rsidRPr="00D266F6">
        <w:rPr>
          <w:rFonts w:ascii="Tahoma" w:hAnsi="Tahoma" w:cs="Tahoma"/>
          <w:sz w:val="22"/>
          <w:szCs w:val="22"/>
        </w:rPr>
        <w:t xml:space="preserve">Asimismo, el postor indicó que, por los mismos hechos denunciados fue sancionado con 8 meses de inhabilitación temporal. </w:t>
      </w:r>
    </w:p>
    <w:p w:rsidR="00F50865" w:rsidRPr="00D266F6" w:rsidRDefault="00F50865" w:rsidP="00F50865">
      <w:pPr>
        <w:numPr>
          <w:ilvl w:val="0"/>
          <w:numId w:val="4"/>
        </w:numPr>
        <w:tabs>
          <w:tab w:val="clear" w:pos="360"/>
          <w:tab w:val="num" w:pos="0"/>
        </w:tabs>
        <w:ind w:left="567" w:hanging="567"/>
        <w:jc w:val="both"/>
        <w:rPr>
          <w:rFonts w:ascii="Tahoma" w:hAnsi="Tahoma" w:cs="Tahoma"/>
          <w:sz w:val="22"/>
          <w:szCs w:val="22"/>
        </w:rPr>
      </w:pPr>
      <w:r w:rsidRPr="00D266F6">
        <w:rPr>
          <w:rFonts w:ascii="Tahoma" w:hAnsi="Tahoma" w:cs="Tahoma"/>
          <w:sz w:val="22"/>
          <w:szCs w:val="22"/>
        </w:rPr>
        <w:t>Ahora bien, y en base a la documentación obrante en autos, se ha verificado que el Postor presentó al proceso de selección las siguientes Facturas № 001-000405, № 001-000454, № 001-000388 y № 001-000384, con un contenido distinto al que había presentado en otro proceso de selección (el Proceso por Competencia Menor № CME-0144-2007-OFP/PETROPERÚ) pese a que se trataban de los mismos comprobantes de pago, de acuerdo al siguiente detalle:</w:t>
      </w:r>
    </w:p>
    <w:p w:rsidR="00F50865" w:rsidRPr="00D266F6" w:rsidRDefault="00F50865" w:rsidP="00F50865">
      <w:pPr>
        <w:pStyle w:val="Prrafodelista"/>
        <w:rPr>
          <w:rFonts w:ascii="Tahoma" w:hAnsi="Tahoma" w:cs="Tahoma"/>
          <w:sz w:val="22"/>
          <w:szCs w:val="22"/>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3260"/>
        <w:gridCol w:w="1134"/>
        <w:gridCol w:w="1134"/>
        <w:gridCol w:w="1154"/>
      </w:tblGrid>
      <w:tr w:rsidR="00F50865" w:rsidRPr="00940ECE" w:rsidTr="007B4BF6">
        <w:tc>
          <w:tcPr>
            <w:tcW w:w="1276" w:type="dxa"/>
          </w:tcPr>
          <w:p w:rsidR="00F50865" w:rsidRPr="00577E3C" w:rsidRDefault="00F50865" w:rsidP="007B4BF6">
            <w:pPr>
              <w:jc w:val="center"/>
              <w:rPr>
                <w:rFonts w:ascii="Tahoma" w:hAnsi="Tahoma" w:cs="Tahoma"/>
                <w:b/>
                <w:sz w:val="18"/>
                <w:szCs w:val="18"/>
              </w:rPr>
            </w:pPr>
            <w:r w:rsidRPr="00577E3C">
              <w:rPr>
                <w:rFonts w:ascii="Tahoma" w:hAnsi="Tahoma" w:cs="Tahoma"/>
                <w:b/>
                <w:sz w:val="18"/>
                <w:szCs w:val="18"/>
              </w:rPr>
              <w:t>FACTURA №</w:t>
            </w:r>
          </w:p>
        </w:tc>
        <w:tc>
          <w:tcPr>
            <w:tcW w:w="3260" w:type="dxa"/>
          </w:tcPr>
          <w:p w:rsidR="00F50865" w:rsidRPr="00577E3C" w:rsidRDefault="00F50865" w:rsidP="007B4BF6">
            <w:pPr>
              <w:jc w:val="center"/>
              <w:rPr>
                <w:rFonts w:ascii="Tahoma" w:hAnsi="Tahoma" w:cs="Tahoma"/>
                <w:b/>
                <w:sz w:val="18"/>
                <w:szCs w:val="18"/>
              </w:rPr>
            </w:pPr>
            <w:r w:rsidRPr="00577E3C">
              <w:rPr>
                <w:rFonts w:ascii="Tahoma" w:hAnsi="Tahoma" w:cs="Tahoma"/>
                <w:b/>
                <w:sz w:val="18"/>
                <w:szCs w:val="18"/>
              </w:rPr>
              <w:t>PROCESO DE SELECCIÓN</w:t>
            </w:r>
          </w:p>
        </w:tc>
        <w:tc>
          <w:tcPr>
            <w:tcW w:w="1134" w:type="dxa"/>
          </w:tcPr>
          <w:p w:rsidR="00F50865" w:rsidRPr="00577E3C" w:rsidRDefault="00F50865" w:rsidP="007B4BF6">
            <w:pPr>
              <w:jc w:val="center"/>
              <w:rPr>
                <w:rFonts w:ascii="Tahoma" w:hAnsi="Tahoma" w:cs="Tahoma"/>
                <w:b/>
                <w:sz w:val="18"/>
                <w:szCs w:val="18"/>
              </w:rPr>
            </w:pPr>
            <w:r w:rsidRPr="00577E3C">
              <w:rPr>
                <w:rFonts w:ascii="Tahoma" w:hAnsi="Tahoma" w:cs="Tahoma"/>
                <w:b/>
                <w:sz w:val="18"/>
                <w:szCs w:val="18"/>
              </w:rPr>
              <w:t>FECHA DE EMISIÓN</w:t>
            </w:r>
          </w:p>
        </w:tc>
        <w:tc>
          <w:tcPr>
            <w:tcW w:w="1134" w:type="dxa"/>
          </w:tcPr>
          <w:p w:rsidR="00F50865" w:rsidRPr="00577E3C" w:rsidRDefault="00F50865" w:rsidP="007B4BF6">
            <w:pPr>
              <w:jc w:val="center"/>
              <w:rPr>
                <w:rFonts w:ascii="Tahoma" w:hAnsi="Tahoma" w:cs="Tahoma"/>
                <w:b/>
                <w:sz w:val="18"/>
                <w:szCs w:val="18"/>
              </w:rPr>
            </w:pPr>
            <w:r w:rsidRPr="00577E3C">
              <w:rPr>
                <w:rFonts w:ascii="Tahoma" w:hAnsi="Tahoma" w:cs="Tahoma"/>
                <w:b/>
                <w:sz w:val="18"/>
                <w:szCs w:val="18"/>
              </w:rPr>
              <w:t>FECHA DE CANCELACIÓN</w:t>
            </w:r>
          </w:p>
        </w:tc>
        <w:tc>
          <w:tcPr>
            <w:tcW w:w="1154" w:type="dxa"/>
          </w:tcPr>
          <w:p w:rsidR="00F50865" w:rsidRPr="00577E3C" w:rsidRDefault="00F50865" w:rsidP="007B4BF6">
            <w:pPr>
              <w:jc w:val="center"/>
              <w:rPr>
                <w:rFonts w:ascii="Tahoma" w:hAnsi="Tahoma" w:cs="Tahoma"/>
                <w:b/>
                <w:sz w:val="18"/>
                <w:szCs w:val="18"/>
              </w:rPr>
            </w:pPr>
            <w:r w:rsidRPr="00577E3C">
              <w:rPr>
                <w:rFonts w:ascii="Tahoma" w:hAnsi="Tahoma" w:cs="Tahoma"/>
                <w:b/>
                <w:sz w:val="18"/>
                <w:szCs w:val="18"/>
              </w:rPr>
              <w:t>MONTO S/.</w:t>
            </w:r>
          </w:p>
        </w:tc>
      </w:tr>
      <w:tr w:rsidR="00F50865" w:rsidRPr="00940ECE" w:rsidTr="007B4BF6">
        <w:tc>
          <w:tcPr>
            <w:tcW w:w="1276"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001-000405</w:t>
            </w:r>
          </w:p>
        </w:tc>
        <w:tc>
          <w:tcPr>
            <w:tcW w:w="3260"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PROCESO POR COMPETENCIA MENOR № CME-170-2007-OFP/PETROPERÚ</w:t>
            </w:r>
          </w:p>
        </w:tc>
        <w:tc>
          <w:tcPr>
            <w:tcW w:w="1134"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09.05.2005</w:t>
            </w:r>
          </w:p>
        </w:tc>
        <w:tc>
          <w:tcPr>
            <w:tcW w:w="1134"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26.05.2005</w:t>
            </w:r>
          </w:p>
        </w:tc>
        <w:tc>
          <w:tcPr>
            <w:tcW w:w="1154"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25 247,04</w:t>
            </w:r>
          </w:p>
        </w:tc>
      </w:tr>
      <w:tr w:rsidR="00F50865" w:rsidRPr="00940ECE" w:rsidTr="007B4BF6">
        <w:tc>
          <w:tcPr>
            <w:tcW w:w="1276"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001-000405</w:t>
            </w:r>
          </w:p>
        </w:tc>
        <w:tc>
          <w:tcPr>
            <w:tcW w:w="3260"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PROCESO POR COMPETENCIA MENOR № CME-0144-2007-OFP/PETROPERÚ</w:t>
            </w:r>
          </w:p>
        </w:tc>
        <w:tc>
          <w:tcPr>
            <w:tcW w:w="1134"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12.12.2005</w:t>
            </w:r>
          </w:p>
        </w:tc>
        <w:tc>
          <w:tcPr>
            <w:tcW w:w="1134"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10.01.2006</w:t>
            </w:r>
          </w:p>
        </w:tc>
        <w:tc>
          <w:tcPr>
            <w:tcW w:w="1154"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23 132,01</w:t>
            </w:r>
          </w:p>
        </w:tc>
      </w:tr>
    </w:tbl>
    <w:p w:rsidR="00F50865" w:rsidRPr="00940ECE" w:rsidRDefault="00F50865" w:rsidP="00F50865">
      <w:pPr>
        <w:jc w:val="both"/>
        <w:rPr>
          <w:rFonts w:ascii="Tahoma" w:hAnsi="Tahoma" w:cs="Tahoma"/>
          <w:sz w:val="22"/>
          <w:szCs w:val="22"/>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3260"/>
        <w:gridCol w:w="1134"/>
        <w:gridCol w:w="1134"/>
        <w:gridCol w:w="1154"/>
      </w:tblGrid>
      <w:tr w:rsidR="00F50865" w:rsidRPr="00577E3C" w:rsidTr="007B4BF6">
        <w:tc>
          <w:tcPr>
            <w:tcW w:w="1276" w:type="dxa"/>
          </w:tcPr>
          <w:p w:rsidR="00F50865" w:rsidRPr="00577E3C" w:rsidRDefault="00F50865" w:rsidP="007B4BF6">
            <w:pPr>
              <w:jc w:val="center"/>
              <w:rPr>
                <w:rFonts w:ascii="Tahoma" w:hAnsi="Tahoma" w:cs="Tahoma"/>
                <w:b/>
                <w:sz w:val="18"/>
                <w:szCs w:val="18"/>
              </w:rPr>
            </w:pPr>
            <w:r w:rsidRPr="00577E3C">
              <w:rPr>
                <w:rFonts w:ascii="Tahoma" w:hAnsi="Tahoma" w:cs="Tahoma"/>
                <w:b/>
                <w:sz w:val="18"/>
                <w:szCs w:val="18"/>
              </w:rPr>
              <w:lastRenderedPageBreak/>
              <w:t>FACTURA №</w:t>
            </w:r>
          </w:p>
        </w:tc>
        <w:tc>
          <w:tcPr>
            <w:tcW w:w="3260" w:type="dxa"/>
          </w:tcPr>
          <w:p w:rsidR="00F50865" w:rsidRPr="00577E3C" w:rsidRDefault="00F50865" w:rsidP="007B4BF6">
            <w:pPr>
              <w:jc w:val="center"/>
              <w:rPr>
                <w:rFonts w:ascii="Tahoma" w:hAnsi="Tahoma" w:cs="Tahoma"/>
                <w:b/>
                <w:sz w:val="18"/>
                <w:szCs w:val="18"/>
              </w:rPr>
            </w:pPr>
            <w:r w:rsidRPr="00577E3C">
              <w:rPr>
                <w:rFonts w:ascii="Tahoma" w:hAnsi="Tahoma" w:cs="Tahoma"/>
                <w:b/>
                <w:sz w:val="18"/>
                <w:szCs w:val="18"/>
              </w:rPr>
              <w:t>PROCESO DE SELECCIÓN</w:t>
            </w:r>
          </w:p>
        </w:tc>
        <w:tc>
          <w:tcPr>
            <w:tcW w:w="1134" w:type="dxa"/>
          </w:tcPr>
          <w:p w:rsidR="00F50865" w:rsidRPr="00577E3C" w:rsidRDefault="00F50865" w:rsidP="007B4BF6">
            <w:pPr>
              <w:jc w:val="center"/>
              <w:rPr>
                <w:rFonts w:ascii="Tahoma" w:hAnsi="Tahoma" w:cs="Tahoma"/>
                <w:b/>
                <w:sz w:val="18"/>
                <w:szCs w:val="18"/>
              </w:rPr>
            </w:pPr>
            <w:r w:rsidRPr="00577E3C">
              <w:rPr>
                <w:rFonts w:ascii="Tahoma" w:hAnsi="Tahoma" w:cs="Tahoma"/>
                <w:b/>
                <w:sz w:val="18"/>
                <w:szCs w:val="18"/>
              </w:rPr>
              <w:t>FECHA DE EMISIÓN</w:t>
            </w:r>
          </w:p>
        </w:tc>
        <w:tc>
          <w:tcPr>
            <w:tcW w:w="1134" w:type="dxa"/>
          </w:tcPr>
          <w:p w:rsidR="00F50865" w:rsidRPr="00577E3C" w:rsidRDefault="00F50865" w:rsidP="007B4BF6">
            <w:pPr>
              <w:jc w:val="center"/>
              <w:rPr>
                <w:rFonts w:ascii="Tahoma" w:hAnsi="Tahoma" w:cs="Tahoma"/>
                <w:b/>
                <w:sz w:val="18"/>
                <w:szCs w:val="18"/>
              </w:rPr>
            </w:pPr>
            <w:r w:rsidRPr="00577E3C">
              <w:rPr>
                <w:rFonts w:ascii="Tahoma" w:hAnsi="Tahoma" w:cs="Tahoma"/>
                <w:b/>
                <w:sz w:val="18"/>
                <w:szCs w:val="18"/>
              </w:rPr>
              <w:t>FECHA DE CANCELACIÓN</w:t>
            </w:r>
          </w:p>
        </w:tc>
        <w:tc>
          <w:tcPr>
            <w:tcW w:w="1154" w:type="dxa"/>
          </w:tcPr>
          <w:p w:rsidR="00F50865" w:rsidRPr="00577E3C" w:rsidRDefault="00F50865" w:rsidP="007B4BF6">
            <w:pPr>
              <w:jc w:val="center"/>
              <w:rPr>
                <w:rFonts w:ascii="Tahoma" w:hAnsi="Tahoma" w:cs="Tahoma"/>
                <w:b/>
                <w:sz w:val="18"/>
                <w:szCs w:val="18"/>
              </w:rPr>
            </w:pPr>
            <w:r w:rsidRPr="00577E3C">
              <w:rPr>
                <w:rFonts w:ascii="Tahoma" w:hAnsi="Tahoma" w:cs="Tahoma"/>
                <w:b/>
                <w:sz w:val="18"/>
                <w:szCs w:val="18"/>
              </w:rPr>
              <w:t>MONTO S/.</w:t>
            </w:r>
          </w:p>
        </w:tc>
      </w:tr>
      <w:tr w:rsidR="00F50865" w:rsidRPr="00577E3C" w:rsidTr="007B4BF6">
        <w:tc>
          <w:tcPr>
            <w:tcW w:w="1276"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001-000454</w:t>
            </w:r>
          </w:p>
        </w:tc>
        <w:tc>
          <w:tcPr>
            <w:tcW w:w="3260"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PROCESO POR COMPETENCIA MENOR № CME-170-2007-OFP/PETROPERÚ</w:t>
            </w:r>
          </w:p>
        </w:tc>
        <w:tc>
          <w:tcPr>
            <w:tcW w:w="1134"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10.10.2006</w:t>
            </w:r>
          </w:p>
        </w:tc>
        <w:tc>
          <w:tcPr>
            <w:tcW w:w="1134"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15.11.2006</w:t>
            </w:r>
          </w:p>
        </w:tc>
        <w:tc>
          <w:tcPr>
            <w:tcW w:w="1154"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36 690,08</w:t>
            </w:r>
          </w:p>
        </w:tc>
      </w:tr>
      <w:tr w:rsidR="00F50865" w:rsidRPr="00577E3C" w:rsidTr="007B4BF6">
        <w:tc>
          <w:tcPr>
            <w:tcW w:w="1276"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001-000454</w:t>
            </w:r>
          </w:p>
        </w:tc>
        <w:tc>
          <w:tcPr>
            <w:tcW w:w="3260"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PROCESO POR COMPETENCIA MENOR № CME-0144-2007-OFP/PETROPERÚ</w:t>
            </w:r>
          </w:p>
        </w:tc>
        <w:tc>
          <w:tcPr>
            <w:tcW w:w="1134"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16.01.2007</w:t>
            </w:r>
          </w:p>
        </w:tc>
        <w:tc>
          <w:tcPr>
            <w:tcW w:w="1134"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29.01.2007</w:t>
            </w:r>
          </w:p>
        </w:tc>
        <w:tc>
          <w:tcPr>
            <w:tcW w:w="1154"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6 345,00</w:t>
            </w:r>
          </w:p>
        </w:tc>
      </w:tr>
    </w:tbl>
    <w:p w:rsidR="00F50865" w:rsidRPr="00577E3C" w:rsidRDefault="00F50865" w:rsidP="00F50865">
      <w:pPr>
        <w:pStyle w:val="Prrafodelista"/>
        <w:ind w:left="0"/>
        <w:rPr>
          <w:rFonts w:ascii="Tahoma" w:hAnsi="Tahoma" w:cs="Tahoma"/>
          <w:sz w:val="18"/>
          <w:szCs w:val="18"/>
        </w:rPr>
      </w:pPr>
    </w:p>
    <w:p w:rsidR="00F50865" w:rsidRPr="00577E3C" w:rsidRDefault="00F50865" w:rsidP="00F50865">
      <w:pPr>
        <w:pStyle w:val="Prrafodelista"/>
        <w:rPr>
          <w:rFonts w:ascii="Tahoma" w:hAnsi="Tahoma" w:cs="Tahoma"/>
          <w:sz w:val="18"/>
          <w:szCs w:val="18"/>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3260"/>
        <w:gridCol w:w="1134"/>
        <w:gridCol w:w="1134"/>
        <w:gridCol w:w="1154"/>
      </w:tblGrid>
      <w:tr w:rsidR="00F50865" w:rsidRPr="00577E3C" w:rsidTr="007B4BF6">
        <w:tc>
          <w:tcPr>
            <w:tcW w:w="1276" w:type="dxa"/>
          </w:tcPr>
          <w:p w:rsidR="00F50865" w:rsidRPr="00577E3C" w:rsidRDefault="00F50865" w:rsidP="007B4BF6">
            <w:pPr>
              <w:jc w:val="center"/>
              <w:rPr>
                <w:rFonts w:ascii="Tahoma" w:hAnsi="Tahoma" w:cs="Tahoma"/>
                <w:b/>
                <w:sz w:val="18"/>
                <w:szCs w:val="18"/>
              </w:rPr>
            </w:pPr>
            <w:r w:rsidRPr="00577E3C">
              <w:rPr>
                <w:rFonts w:ascii="Tahoma" w:hAnsi="Tahoma" w:cs="Tahoma"/>
                <w:b/>
                <w:sz w:val="18"/>
                <w:szCs w:val="18"/>
              </w:rPr>
              <w:t>FACTURA №</w:t>
            </w:r>
          </w:p>
        </w:tc>
        <w:tc>
          <w:tcPr>
            <w:tcW w:w="3260" w:type="dxa"/>
          </w:tcPr>
          <w:p w:rsidR="00F50865" w:rsidRPr="00577E3C" w:rsidRDefault="00F50865" w:rsidP="007B4BF6">
            <w:pPr>
              <w:jc w:val="center"/>
              <w:rPr>
                <w:rFonts w:ascii="Tahoma" w:hAnsi="Tahoma" w:cs="Tahoma"/>
                <w:b/>
                <w:sz w:val="18"/>
                <w:szCs w:val="18"/>
              </w:rPr>
            </w:pPr>
            <w:r w:rsidRPr="00577E3C">
              <w:rPr>
                <w:rFonts w:ascii="Tahoma" w:hAnsi="Tahoma" w:cs="Tahoma"/>
                <w:b/>
                <w:sz w:val="18"/>
                <w:szCs w:val="18"/>
              </w:rPr>
              <w:t>PROCESO DE SELECCIÓN</w:t>
            </w:r>
          </w:p>
        </w:tc>
        <w:tc>
          <w:tcPr>
            <w:tcW w:w="1134" w:type="dxa"/>
          </w:tcPr>
          <w:p w:rsidR="00F50865" w:rsidRPr="00577E3C" w:rsidRDefault="00F50865" w:rsidP="007B4BF6">
            <w:pPr>
              <w:jc w:val="center"/>
              <w:rPr>
                <w:rFonts w:ascii="Tahoma" w:hAnsi="Tahoma" w:cs="Tahoma"/>
                <w:b/>
                <w:sz w:val="18"/>
                <w:szCs w:val="18"/>
              </w:rPr>
            </w:pPr>
            <w:r w:rsidRPr="00577E3C">
              <w:rPr>
                <w:rFonts w:ascii="Tahoma" w:hAnsi="Tahoma" w:cs="Tahoma"/>
                <w:b/>
                <w:sz w:val="18"/>
                <w:szCs w:val="18"/>
              </w:rPr>
              <w:t>FECHA DE EMISIÓN</w:t>
            </w:r>
          </w:p>
        </w:tc>
        <w:tc>
          <w:tcPr>
            <w:tcW w:w="1134" w:type="dxa"/>
          </w:tcPr>
          <w:p w:rsidR="00F50865" w:rsidRPr="00577E3C" w:rsidRDefault="00F50865" w:rsidP="007B4BF6">
            <w:pPr>
              <w:jc w:val="center"/>
              <w:rPr>
                <w:rFonts w:ascii="Tahoma" w:hAnsi="Tahoma" w:cs="Tahoma"/>
                <w:b/>
                <w:sz w:val="18"/>
                <w:szCs w:val="18"/>
              </w:rPr>
            </w:pPr>
            <w:r w:rsidRPr="00577E3C">
              <w:rPr>
                <w:rFonts w:ascii="Tahoma" w:hAnsi="Tahoma" w:cs="Tahoma"/>
                <w:b/>
                <w:sz w:val="18"/>
                <w:szCs w:val="18"/>
              </w:rPr>
              <w:t>FECHA DE CANCELACIÓN</w:t>
            </w:r>
          </w:p>
        </w:tc>
        <w:tc>
          <w:tcPr>
            <w:tcW w:w="1154" w:type="dxa"/>
          </w:tcPr>
          <w:p w:rsidR="00F50865" w:rsidRPr="00577E3C" w:rsidRDefault="00F50865" w:rsidP="007B4BF6">
            <w:pPr>
              <w:jc w:val="center"/>
              <w:rPr>
                <w:rFonts w:ascii="Tahoma" w:hAnsi="Tahoma" w:cs="Tahoma"/>
                <w:b/>
                <w:sz w:val="18"/>
                <w:szCs w:val="18"/>
              </w:rPr>
            </w:pPr>
            <w:r w:rsidRPr="00577E3C">
              <w:rPr>
                <w:rFonts w:ascii="Tahoma" w:hAnsi="Tahoma" w:cs="Tahoma"/>
                <w:b/>
                <w:sz w:val="18"/>
                <w:szCs w:val="18"/>
              </w:rPr>
              <w:t>MONTO S/.</w:t>
            </w:r>
          </w:p>
        </w:tc>
      </w:tr>
      <w:tr w:rsidR="00F50865" w:rsidRPr="00577E3C" w:rsidTr="007B4BF6">
        <w:tc>
          <w:tcPr>
            <w:tcW w:w="1276"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001-000388</w:t>
            </w:r>
          </w:p>
        </w:tc>
        <w:tc>
          <w:tcPr>
            <w:tcW w:w="3260"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PROCESO POR COMPETENCIA MENOR № CME-170-2007-OFP/PETROPERÚ</w:t>
            </w:r>
          </w:p>
        </w:tc>
        <w:tc>
          <w:tcPr>
            <w:tcW w:w="1134"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14.03.2005</w:t>
            </w:r>
          </w:p>
        </w:tc>
        <w:tc>
          <w:tcPr>
            <w:tcW w:w="1134"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26.03.2005</w:t>
            </w:r>
          </w:p>
        </w:tc>
        <w:tc>
          <w:tcPr>
            <w:tcW w:w="1154"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42 408,03</w:t>
            </w:r>
          </w:p>
        </w:tc>
      </w:tr>
      <w:tr w:rsidR="00F50865" w:rsidRPr="00577E3C" w:rsidTr="007B4BF6">
        <w:tc>
          <w:tcPr>
            <w:tcW w:w="1276"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001-000388</w:t>
            </w:r>
          </w:p>
        </w:tc>
        <w:tc>
          <w:tcPr>
            <w:tcW w:w="3260"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PROCESO POR COMPETENCIA MENOR № CME-0144-2007-OFP/PETROPERÚ</w:t>
            </w:r>
          </w:p>
        </w:tc>
        <w:tc>
          <w:tcPr>
            <w:tcW w:w="1134"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27.10.2005</w:t>
            </w:r>
          </w:p>
        </w:tc>
        <w:tc>
          <w:tcPr>
            <w:tcW w:w="1134"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03.11.2005</w:t>
            </w:r>
          </w:p>
        </w:tc>
        <w:tc>
          <w:tcPr>
            <w:tcW w:w="1154"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15 351,00</w:t>
            </w:r>
          </w:p>
        </w:tc>
      </w:tr>
    </w:tbl>
    <w:p w:rsidR="00F50865" w:rsidRPr="00577E3C" w:rsidRDefault="00F50865" w:rsidP="00F50865">
      <w:pPr>
        <w:ind w:left="567"/>
        <w:jc w:val="both"/>
        <w:rPr>
          <w:rFonts w:ascii="Tahoma" w:hAnsi="Tahoma" w:cs="Tahoma"/>
          <w:sz w:val="18"/>
          <w:szCs w:val="18"/>
        </w:rPr>
      </w:pPr>
    </w:p>
    <w:p w:rsidR="00F50865" w:rsidRPr="00577E3C" w:rsidRDefault="00F50865" w:rsidP="00F50865">
      <w:pPr>
        <w:jc w:val="both"/>
        <w:rPr>
          <w:rFonts w:ascii="Tahoma" w:hAnsi="Tahoma" w:cs="Tahoma"/>
          <w:sz w:val="18"/>
          <w:szCs w:val="18"/>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3260"/>
        <w:gridCol w:w="1134"/>
        <w:gridCol w:w="1134"/>
        <w:gridCol w:w="1154"/>
      </w:tblGrid>
      <w:tr w:rsidR="00F50865" w:rsidRPr="00577E3C" w:rsidTr="007B4BF6">
        <w:trPr>
          <w:trHeight w:val="492"/>
        </w:trPr>
        <w:tc>
          <w:tcPr>
            <w:tcW w:w="1276" w:type="dxa"/>
          </w:tcPr>
          <w:p w:rsidR="00F50865" w:rsidRPr="00577E3C" w:rsidRDefault="00F50865" w:rsidP="007B4BF6">
            <w:pPr>
              <w:jc w:val="center"/>
              <w:rPr>
                <w:rFonts w:ascii="Tahoma" w:hAnsi="Tahoma" w:cs="Tahoma"/>
                <w:b/>
                <w:sz w:val="18"/>
                <w:szCs w:val="18"/>
              </w:rPr>
            </w:pPr>
            <w:r w:rsidRPr="00577E3C">
              <w:rPr>
                <w:rFonts w:ascii="Tahoma" w:hAnsi="Tahoma" w:cs="Tahoma"/>
                <w:b/>
                <w:sz w:val="18"/>
                <w:szCs w:val="18"/>
              </w:rPr>
              <w:t>FACTURA №</w:t>
            </w:r>
          </w:p>
        </w:tc>
        <w:tc>
          <w:tcPr>
            <w:tcW w:w="3260" w:type="dxa"/>
          </w:tcPr>
          <w:p w:rsidR="00F50865" w:rsidRPr="00577E3C" w:rsidRDefault="00F50865" w:rsidP="007B4BF6">
            <w:pPr>
              <w:jc w:val="center"/>
              <w:rPr>
                <w:rFonts w:ascii="Tahoma" w:hAnsi="Tahoma" w:cs="Tahoma"/>
                <w:b/>
                <w:sz w:val="18"/>
                <w:szCs w:val="18"/>
              </w:rPr>
            </w:pPr>
            <w:r w:rsidRPr="00577E3C">
              <w:rPr>
                <w:rFonts w:ascii="Tahoma" w:hAnsi="Tahoma" w:cs="Tahoma"/>
                <w:b/>
                <w:sz w:val="18"/>
                <w:szCs w:val="18"/>
              </w:rPr>
              <w:t>PROCESO DE SELECCIÓN</w:t>
            </w:r>
          </w:p>
        </w:tc>
        <w:tc>
          <w:tcPr>
            <w:tcW w:w="1134" w:type="dxa"/>
          </w:tcPr>
          <w:p w:rsidR="00F50865" w:rsidRPr="00577E3C" w:rsidRDefault="00F50865" w:rsidP="007B4BF6">
            <w:pPr>
              <w:jc w:val="center"/>
              <w:rPr>
                <w:rFonts w:ascii="Tahoma" w:hAnsi="Tahoma" w:cs="Tahoma"/>
                <w:b/>
                <w:sz w:val="18"/>
                <w:szCs w:val="18"/>
              </w:rPr>
            </w:pPr>
            <w:r w:rsidRPr="00577E3C">
              <w:rPr>
                <w:rFonts w:ascii="Tahoma" w:hAnsi="Tahoma" w:cs="Tahoma"/>
                <w:b/>
                <w:sz w:val="18"/>
                <w:szCs w:val="18"/>
              </w:rPr>
              <w:t>FECHA DE EMISIÓN</w:t>
            </w:r>
          </w:p>
        </w:tc>
        <w:tc>
          <w:tcPr>
            <w:tcW w:w="1134" w:type="dxa"/>
          </w:tcPr>
          <w:p w:rsidR="00F50865" w:rsidRPr="00577E3C" w:rsidRDefault="00F50865" w:rsidP="007B4BF6">
            <w:pPr>
              <w:jc w:val="center"/>
              <w:rPr>
                <w:rFonts w:ascii="Tahoma" w:hAnsi="Tahoma" w:cs="Tahoma"/>
                <w:b/>
                <w:sz w:val="18"/>
                <w:szCs w:val="18"/>
              </w:rPr>
            </w:pPr>
            <w:r w:rsidRPr="00577E3C">
              <w:rPr>
                <w:rFonts w:ascii="Tahoma" w:hAnsi="Tahoma" w:cs="Tahoma"/>
                <w:b/>
                <w:sz w:val="18"/>
                <w:szCs w:val="18"/>
              </w:rPr>
              <w:t>FECHA DE CANCELACIÓN</w:t>
            </w:r>
          </w:p>
        </w:tc>
        <w:tc>
          <w:tcPr>
            <w:tcW w:w="1154" w:type="dxa"/>
          </w:tcPr>
          <w:p w:rsidR="00F50865" w:rsidRPr="00577E3C" w:rsidRDefault="00F50865" w:rsidP="007B4BF6">
            <w:pPr>
              <w:jc w:val="center"/>
              <w:rPr>
                <w:rFonts w:ascii="Tahoma" w:hAnsi="Tahoma" w:cs="Tahoma"/>
                <w:b/>
                <w:sz w:val="18"/>
                <w:szCs w:val="18"/>
              </w:rPr>
            </w:pPr>
            <w:r w:rsidRPr="00577E3C">
              <w:rPr>
                <w:rFonts w:ascii="Tahoma" w:hAnsi="Tahoma" w:cs="Tahoma"/>
                <w:b/>
                <w:sz w:val="18"/>
                <w:szCs w:val="18"/>
              </w:rPr>
              <w:t>MONTO S/.</w:t>
            </w:r>
          </w:p>
        </w:tc>
      </w:tr>
      <w:tr w:rsidR="00F50865" w:rsidRPr="00577E3C" w:rsidTr="007B4BF6">
        <w:tc>
          <w:tcPr>
            <w:tcW w:w="1276"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001-000384</w:t>
            </w:r>
          </w:p>
        </w:tc>
        <w:tc>
          <w:tcPr>
            <w:tcW w:w="3260"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PROCESO POR COMPETENCIA MENOR № CME-170-2007-OFP/PETROPERÚ</w:t>
            </w:r>
          </w:p>
        </w:tc>
        <w:tc>
          <w:tcPr>
            <w:tcW w:w="1134"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26.01.2005</w:t>
            </w:r>
          </w:p>
        </w:tc>
        <w:tc>
          <w:tcPr>
            <w:tcW w:w="1134"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23.02.2005</w:t>
            </w:r>
          </w:p>
        </w:tc>
        <w:tc>
          <w:tcPr>
            <w:tcW w:w="1154"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47 957,00</w:t>
            </w:r>
          </w:p>
        </w:tc>
      </w:tr>
      <w:tr w:rsidR="00F50865" w:rsidRPr="00577E3C" w:rsidTr="007B4BF6">
        <w:tc>
          <w:tcPr>
            <w:tcW w:w="1276"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001-000384</w:t>
            </w:r>
          </w:p>
        </w:tc>
        <w:tc>
          <w:tcPr>
            <w:tcW w:w="3260"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PROCESO POR COMPETENCIA MENOR № CME-0144-2007-OFP/PETROPERÚ</w:t>
            </w:r>
          </w:p>
        </w:tc>
        <w:tc>
          <w:tcPr>
            <w:tcW w:w="1134"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16.09.2005</w:t>
            </w:r>
          </w:p>
        </w:tc>
        <w:tc>
          <w:tcPr>
            <w:tcW w:w="1134"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16.09.2005</w:t>
            </w:r>
          </w:p>
        </w:tc>
        <w:tc>
          <w:tcPr>
            <w:tcW w:w="1154" w:type="dxa"/>
          </w:tcPr>
          <w:p w:rsidR="00F50865" w:rsidRPr="00577E3C" w:rsidRDefault="00F50865" w:rsidP="007B4BF6">
            <w:pPr>
              <w:jc w:val="both"/>
              <w:rPr>
                <w:rFonts w:ascii="Tahoma" w:hAnsi="Tahoma" w:cs="Tahoma"/>
                <w:sz w:val="18"/>
                <w:szCs w:val="18"/>
              </w:rPr>
            </w:pPr>
            <w:r w:rsidRPr="00577E3C">
              <w:rPr>
                <w:rFonts w:ascii="Tahoma" w:hAnsi="Tahoma" w:cs="Tahoma"/>
                <w:sz w:val="18"/>
                <w:szCs w:val="18"/>
              </w:rPr>
              <w:t>5 454,96</w:t>
            </w:r>
          </w:p>
        </w:tc>
      </w:tr>
    </w:tbl>
    <w:p w:rsidR="00F50865" w:rsidRPr="00940ECE" w:rsidRDefault="00F50865" w:rsidP="00F50865">
      <w:pPr>
        <w:pStyle w:val="Prrafodelista"/>
        <w:rPr>
          <w:rFonts w:ascii="Tahoma" w:hAnsi="Tahoma" w:cs="Tahoma"/>
          <w:sz w:val="22"/>
          <w:szCs w:val="22"/>
        </w:rPr>
      </w:pPr>
    </w:p>
    <w:p w:rsidR="00F50865" w:rsidRPr="00D266F6" w:rsidRDefault="00F50865" w:rsidP="00F50865">
      <w:pPr>
        <w:ind w:left="567"/>
        <w:jc w:val="both"/>
        <w:rPr>
          <w:rFonts w:ascii="Tahoma" w:hAnsi="Tahoma" w:cs="Tahoma"/>
          <w:sz w:val="22"/>
          <w:szCs w:val="22"/>
        </w:rPr>
      </w:pPr>
      <w:r w:rsidRPr="00D266F6">
        <w:rPr>
          <w:rFonts w:ascii="Tahoma" w:hAnsi="Tahoma" w:cs="Tahoma"/>
          <w:sz w:val="22"/>
          <w:szCs w:val="22"/>
        </w:rPr>
        <w:t xml:space="preserve">Asimismo, mediante Carta № G.F. № 189/2008 del 29 de febrero de 2008, el señor Robinson Vásquez G. apoderado de la empresa  AUSTRAL GROUP S.A.A. comunicó a </w:t>
      </w:r>
      <w:smartTag w:uri="urn:schemas-microsoft-com:office:smarttags" w:element="PersonName">
        <w:smartTagPr>
          <w:attr w:name="ProductID" w:val="la Entidad"/>
        </w:smartTagPr>
        <w:r w:rsidRPr="00D266F6">
          <w:rPr>
            <w:rFonts w:ascii="Tahoma" w:hAnsi="Tahoma" w:cs="Tahoma"/>
            <w:sz w:val="22"/>
            <w:szCs w:val="22"/>
          </w:rPr>
          <w:t>la Entidad</w:t>
        </w:r>
      </w:smartTag>
      <w:r w:rsidRPr="00D266F6">
        <w:rPr>
          <w:rFonts w:ascii="Tahoma" w:hAnsi="Tahoma" w:cs="Tahoma"/>
          <w:sz w:val="22"/>
          <w:szCs w:val="22"/>
        </w:rPr>
        <w:t xml:space="preserve"> que el Postor no había brindado ningún servicio a la mencionada empresa. Más aún, señaló que </w:t>
      </w:r>
      <w:smartTag w:uri="urn:schemas-microsoft-com:office:smarttags" w:element="PersonName">
        <w:smartTagPr>
          <w:attr w:name="ProductID" w:val="la Factura"/>
        </w:smartTagPr>
        <w:r w:rsidRPr="00D266F6">
          <w:rPr>
            <w:rFonts w:ascii="Tahoma" w:hAnsi="Tahoma" w:cs="Tahoma"/>
            <w:sz w:val="22"/>
            <w:szCs w:val="22"/>
          </w:rPr>
          <w:t>la Factura</w:t>
        </w:r>
      </w:smartTag>
      <w:r w:rsidRPr="00D266F6">
        <w:rPr>
          <w:rFonts w:ascii="Tahoma" w:hAnsi="Tahoma" w:cs="Tahoma"/>
          <w:sz w:val="22"/>
          <w:szCs w:val="22"/>
        </w:rPr>
        <w:t xml:space="preserve"> № 001-000388, supuestamente girada a su favor, no obraba en su registros contables de compras y pagos.</w:t>
      </w:r>
    </w:p>
    <w:p w:rsidR="00F50865" w:rsidRPr="00D266F6" w:rsidRDefault="00F50865" w:rsidP="00F50865">
      <w:pPr>
        <w:jc w:val="both"/>
        <w:rPr>
          <w:rFonts w:ascii="Tahoma" w:hAnsi="Tahoma" w:cs="Tahoma"/>
          <w:sz w:val="22"/>
          <w:szCs w:val="22"/>
        </w:rPr>
      </w:pPr>
    </w:p>
    <w:p w:rsidR="00F50865" w:rsidRPr="00D266F6" w:rsidRDefault="00F50865" w:rsidP="00F50865">
      <w:pPr>
        <w:numPr>
          <w:ilvl w:val="0"/>
          <w:numId w:val="4"/>
        </w:numPr>
        <w:tabs>
          <w:tab w:val="clear" w:pos="360"/>
          <w:tab w:val="num" w:pos="0"/>
        </w:tabs>
        <w:ind w:left="567" w:hanging="567"/>
        <w:jc w:val="both"/>
        <w:rPr>
          <w:rFonts w:ascii="Tahoma" w:hAnsi="Tahoma" w:cs="Tahoma"/>
          <w:sz w:val="22"/>
          <w:szCs w:val="22"/>
        </w:rPr>
      </w:pPr>
      <w:r w:rsidRPr="00D266F6">
        <w:rPr>
          <w:rFonts w:ascii="Tahoma" w:hAnsi="Tahoma" w:cs="Tahoma"/>
          <w:sz w:val="22"/>
          <w:szCs w:val="22"/>
        </w:rPr>
        <w:t xml:space="preserve">Cabe  mencionar que, los hechos imputados al postor es por haber presentado documentación falsa en el Proceso por Competencia Menor № CME-170-2007-OFP/PETROPERÚ, siendo que, al postor se le ha sancionado con inhabilitación para  participar y/o contratar con el Estado en atención a la Resolución Nº 466-2009-TC-S3 del 13 de febrero de 2009, por haber presentado documentos falsos en el Proceso por Competencia Menor Nº CME-0169-2007-OFP/PETROPERU, esto es, un proceso de selección distinto </w:t>
      </w:r>
      <w:r w:rsidR="00FF5CEB" w:rsidRPr="00D266F6">
        <w:rPr>
          <w:rFonts w:ascii="Tahoma" w:hAnsi="Tahoma" w:cs="Tahoma"/>
          <w:sz w:val="22"/>
          <w:szCs w:val="22"/>
        </w:rPr>
        <w:t>d</w:t>
      </w:r>
      <w:r w:rsidRPr="00D266F6">
        <w:rPr>
          <w:rFonts w:ascii="Tahoma" w:hAnsi="Tahoma" w:cs="Tahoma"/>
          <w:sz w:val="22"/>
          <w:szCs w:val="22"/>
        </w:rPr>
        <w:t>el cual es materia el presente procedimiento administrativo sancionador.</w:t>
      </w:r>
    </w:p>
    <w:p w:rsidR="00F50865" w:rsidRPr="00D266F6" w:rsidRDefault="00F50865" w:rsidP="00F50865">
      <w:pPr>
        <w:ind w:left="567"/>
        <w:jc w:val="both"/>
        <w:rPr>
          <w:rFonts w:ascii="Tahoma" w:hAnsi="Tahoma" w:cs="Tahoma"/>
          <w:sz w:val="22"/>
          <w:szCs w:val="22"/>
        </w:rPr>
      </w:pPr>
    </w:p>
    <w:p w:rsidR="00F50865" w:rsidRPr="00D266F6" w:rsidRDefault="00F50865" w:rsidP="00F50865">
      <w:pPr>
        <w:numPr>
          <w:ilvl w:val="0"/>
          <w:numId w:val="4"/>
        </w:numPr>
        <w:tabs>
          <w:tab w:val="clear" w:pos="360"/>
          <w:tab w:val="num" w:pos="0"/>
        </w:tabs>
        <w:ind w:left="567" w:hanging="567"/>
        <w:jc w:val="both"/>
        <w:rPr>
          <w:rFonts w:ascii="Tahoma" w:hAnsi="Tahoma" w:cs="Tahoma"/>
          <w:sz w:val="22"/>
          <w:szCs w:val="22"/>
        </w:rPr>
      </w:pPr>
      <w:r w:rsidRPr="00D266F6">
        <w:rPr>
          <w:rFonts w:ascii="Tahoma" w:hAnsi="Tahoma" w:cs="Tahoma"/>
          <w:sz w:val="22"/>
          <w:szCs w:val="22"/>
        </w:rPr>
        <w:lastRenderedPageBreak/>
        <w:t xml:space="preserve">En este sentido, puede concluirse, que ha existido una adulteración clara del contenido de los comprobantes de pago antes mencionados, por lo tanto queda demostrado que el Postor presentó, ante </w:t>
      </w:r>
      <w:smartTag w:uri="urn:schemas-microsoft-com:office:smarttags" w:element="PersonName">
        <w:smartTagPr>
          <w:attr w:name="ProductID" w:val="la Entidad"/>
        </w:smartTagPr>
        <w:r w:rsidRPr="00D266F6">
          <w:rPr>
            <w:rFonts w:ascii="Tahoma" w:hAnsi="Tahoma" w:cs="Tahoma"/>
            <w:sz w:val="22"/>
            <w:szCs w:val="22"/>
          </w:rPr>
          <w:t>la Entidad</w:t>
        </w:r>
      </w:smartTag>
      <w:r w:rsidRPr="00D266F6">
        <w:rPr>
          <w:rFonts w:ascii="Tahoma" w:hAnsi="Tahoma" w:cs="Tahoma"/>
          <w:sz w:val="22"/>
          <w:szCs w:val="22"/>
        </w:rPr>
        <w:t xml:space="preserve">, facturas falsas, con la finalidad de obtener para sí la buena pro del Proceso por Competencia Menor № CME-170-2007-OFP/PETROPERÚ. Más aún, el Postor ha reconocido, en su escrito de descargos de fecha 08 de julio de 2008, que los documentos antes mencionados eran falsos y responsabilizó de la adulteración de los mismos a su personal que se encontraba a cargo de la elaboración de su propuesta técnica y económica. </w:t>
      </w:r>
    </w:p>
    <w:p w:rsidR="00F50865" w:rsidRPr="00D266F6" w:rsidRDefault="00F50865" w:rsidP="00F50865">
      <w:pPr>
        <w:jc w:val="both"/>
        <w:rPr>
          <w:rFonts w:ascii="Tahoma" w:hAnsi="Tahoma" w:cs="Tahoma"/>
          <w:sz w:val="22"/>
          <w:szCs w:val="22"/>
        </w:rPr>
      </w:pPr>
    </w:p>
    <w:p w:rsidR="00F50865" w:rsidRPr="00D266F6" w:rsidRDefault="00F50865" w:rsidP="00F50865">
      <w:pPr>
        <w:numPr>
          <w:ilvl w:val="0"/>
          <w:numId w:val="4"/>
        </w:numPr>
        <w:tabs>
          <w:tab w:val="clear" w:pos="360"/>
          <w:tab w:val="num" w:pos="0"/>
        </w:tabs>
        <w:ind w:left="567" w:hanging="567"/>
        <w:jc w:val="both"/>
        <w:rPr>
          <w:rFonts w:ascii="Tahoma" w:hAnsi="Tahoma" w:cs="Tahoma"/>
          <w:sz w:val="22"/>
          <w:szCs w:val="22"/>
          <w:lang w:val="es-MX"/>
        </w:rPr>
      </w:pPr>
      <w:r w:rsidRPr="00D266F6">
        <w:rPr>
          <w:rFonts w:ascii="Tahoma" w:hAnsi="Tahoma" w:cs="Tahoma"/>
          <w:sz w:val="22"/>
          <w:szCs w:val="22"/>
        </w:rPr>
        <w:t xml:space="preserve">En ese orden de ideas, se debe </w:t>
      </w:r>
      <w:r w:rsidRPr="00D266F6">
        <w:rPr>
          <w:rFonts w:ascii="Tahoma" w:hAnsi="Tahoma" w:cs="Tahoma"/>
          <w:sz w:val="22"/>
          <w:szCs w:val="22"/>
          <w:lang w:val="es-PE"/>
        </w:rPr>
        <w:t xml:space="preserve">partir por la premisa que </w:t>
      </w:r>
      <w:r w:rsidRPr="00D266F6">
        <w:rPr>
          <w:rFonts w:ascii="Tahoma" w:hAnsi="Tahoma" w:cs="Tahoma"/>
          <w:sz w:val="22"/>
          <w:szCs w:val="22"/>
          <w:lang w:val="es-MX"/>
        </w:rPr>
        <w:t xml:space="preserve">todo participante en el proceso de selección es responsable de la veracidad de los documentos presentados ante </w:t>
      </w:r>
      <w:smartTag w:uri="urn:schemas-microsoft-com:office:smarttags" w:element="PersonName">
        <w:smartTagPr>
          <w:attr w:name="ProductID" w:val="la Entidad"/>
        </w:smartTagPr>
        <w:r w:rsidRPr="00D266F6">
          <w:rPr>
            <w:rFonts w:ascii="Tahoma" w:hAnsi="Tahoma" w:cs="Tahoma"/>
            <w:sz w:val="22"/>
            <w:szCs w:val="22"/>
            <w:lang w:val="es-MX"/>
          </w:rPr>
          <w:t>la Entidad</w:t>
        </w:r>
      </w:smartTag>
      <w:r w:rsidRPr="00D266F6">
        <w:rPr>
          <w:rFonts w:ascii="Tahoma" w:hAnsi="Tahoma" w:cs="Tahoma"/>
          <w:sz w:val="22"/>
          <w:szCs w:val="22"/>
          <w:lang w:val="es-MX"/>
        </w:rPr>
        <w:t>, hayan sido tramitados por él mismo o por un tercero en su nombre,</w:t>
      </w:r>
      <w:r w:rsidRPr="00D266F6">
        <w:rPr>
          <w:rFonts w:ascii="Tahoma" w:hAnsi="Tahoma" w:cs="Tahoma"/>
          <w:sz w:val="22"/>
          <w:szCs w:val="22"/>
        </w:rPr>
        <w:t xml:space="preserve"> no sólo debido al vínculo laboral y/o contractual que pudiera haber entre ambas partes </w:t>
      </w:r>
    </w:p>
    <w:p w:rsidR="00F50865" w:rsidRPr="00D266F6" w:rsidRDefault="00F50865" w:rsidP="00F50865">
      <w:pPr>
        <w:pStyle w:val="Prrafodelista"/>
        <w:ind w:left="0"/>
        <w:rPr>
          <w:rFonts w:ascii="Tahoma" w:hAnsi="Tahoma" w:cs="Tahoma"/>
          <w:sz w:val="22"/>
          <w:szCs w:val="22"/>
          <w:lang w:val="es-MX"/>
        </w:rPr>
      </w:pPr>
    </w:p>
    <w:p w:rsidR="00F50865" w:rsidRPr="00D266F6" w:rsidRDefault="00F50865" w:rsidP="00F50865">
      <w:pPr>
        <w:numPr>
          <w:ilvl w:val="0"/>
          <w:numId w:val="4"/>
        </w:numPr>
        <w:tabs>
          <w:tab w:val="clear" w:pos="360"/>
          <w:tab w:val="num" w:pos="0"/>
        </w:tabs>
        <w:ind w:left="567" w:hanging="567"/>
        <w:jc w:val="both"/>
        <w:rPr>
          <w:rFonts w:ascii="Tahoma" w:hAnsi="Tahoma" w:cs="Tahoma"/>
          <w:sz w:val="22"/>
          <w:szCs w:val="22"/>
        </w:rPr>
      </w:pPr>
      <w:r w:rsidRPr="00D266F6">
        <w:rPr>
          <w:rFonts w:ascii="Tahoma" w:hAnsi="Tahoma" w:cs="Tahoma"/>
          <w:sz w:val="22"/>
          <w:szCs w:val="22"/>
        </w:rPr>
        <w:t>Así, según ha sido establecido por este Tribunal en anteriores causas</w:t>
      </w:r>
      <w:r w:rsidRPr="00D266F6">
        <w:rPr>
          <w:rStyle w:val="Refdenotaalpie"/>
          <w:rFonts w:ascii="Tahoma" w:hAnsi="Tahoma" w:cs="Tahoma"/>
          <w:sz w:val="22"/>
          <w:szCs w:val="22"/>
        </w:rPr>
        <w:footnoteReference w:id="10"/>
      </w:r>
      <w:r w:rsidRPr="00D266F6">
        <w:rPr>
          <w:rFonts w:ascii="Tahoma" w:hAnsi="Tahoma" w:cs="Tahoma"/>
          <w:sz w:val="22"/>
          <w:szCs w:val="22"/>
        </w:rPr>
        <w:t xml:space="preserve">, en el sentido que </w:t>
      </w:r>
      <w:r w:rsidRPr="00D266F6">
        <w:rPr>
          <w:rFonts w:ascii="Tahoma" w:hAnsi="Tahoma" w:cs="Tahoma"/>
          <w:sz w:val="22"/>
          <w:szCs w:val="22"/>
          <w:lang w:val="es-MX"/>
        </w:rPr>
        <w:t xml:space="preserve">una persona jurídica responderá por los daños causados por un trabajador o dependiente suyo si media entre ellos una relación que legitima al primero para controlar los actos del segundo y si el daño se ha causado en el curso y desarrollo de la actividad encomendada; </w:t>
      </w:r>
      <w:r w:rsidRPr="00D266F6">
        <w:rPr>
          <w:rFonts w:ascii="Tahoma" w:hAnsi="Tahoma" w:cs="Tahoma"/>
          <w:sz w:val="22"/>
          <w:szCs w:val="22"/>
        </w:rPr>
        <w:t>situación descrita en el artículo 1981 del Código Civil, mediante el cual se reputa responsable del hecho a aquél que tiene bajo sus órdenes al agente directo de la comisión del daño</w:t>
      </w:r>
      <w:r w:rsidRPr="00D266F6">
        <w:rPr>
          <w:rStyle w:val="Refdenotaalpie"/>
          <w:rFonts w:ascii="Tahoma" w:hAnsi="Tahoma" w:cs="Tahoma"/>
          <w:sz w:val="22"/>
          <w:szCs w:val="22"/>
        </w:rPr>
        <w:footnoteReference w:id="11"/>
      </w:r>
      <w:r w:rsidRPr="00D266F6">
        <w:rPr>
          <w:rFonts w:ascii="Tahoma" w:hAnsi="Tahoma" w:cs="Tahoma"/>
          <w:sz w:val="22"/>
          <w:szCs w:val="22"/>
        </w:rPr>
        <w:t>. Esta figura, es conocida a nivel doctrinario como “responsabilidad vicaria”, también llamada “in Vigilando”.</w:t>
      </w:r>
    </w:p>
    <w:p w:rsidR="00F50865" w:rsidRPr="00D266F6" w:rsidRDefault="00F50865" w:rsidP="00F50865">
      <w:pPr>
        <w:pStyle w:val="Sangradetextonormal"/>
        <w:tabs>
          <w:tab w:val="left" w:pos="0"/>
        </w:tabs>
        <w:rPr>
          <w:rFonts w:ascii="Tahoma" w:hAnsi="Tahoma" w:cs="Tahoma"/>
          <w:sz w:val="22"/>
          <w:szCs w:val="22"/>
        </w:rPr>
      </w:pPr>
    </w:p>
    <w:p w:rsidR="00F50865" w:rsidRPr="00D266F6" w:rsidRDefault="00F50865" w:rsidP="00F50865">
      <w:pPr>
        <w:pStyle w:val="Sangradetextonormal"/>
        <w:numPr>
          <w:ilvl w:val="0"/>
          <w:numId w:val="4"/>
        </w:numPr>
        <w:tabs>
          <w:tab w:val="clear" w:pos="360"/>
          <w:tab w:val="left" w:pos="0"/>
        </w:tabs>
        <w:spacing w:after="0"/>
        <w:ind w:left="567" w:hanging="567"/>
        <w:jc w:val="both"/>
        <w:rPr>
          <w:rFonts w:ascii="Tahoma" w:hAnsi="Tahoma" w:cs="Tahoma"/>
          <w:sz w:val="22"/>
          <w:szCs w:val="22"/>
        </w:rPr>
      </w:pPr>
      <w:r w:rsidRPr="00D266F6">
        <w:rPr>
          <w:rFonts w:ascii="Tahoma" w:hAnsi="Tahoma" w:cs="Tahoma"/>
          <w:sz w:val="22"/>
          <w:szCs w:val="22"/>
        </w:rPr>
        <w:t>Por lo expuesto, este Colegiado considera que en el presente caso se ha configurado la infracción tipificada en el inciso 9) del artículo 294 del Reglamento y, consecuentemente, existe mérito suficiente para imponer la correspondiente sanción administrativa.</w:t>
      </w:r>
    </w:p>
    <w:p w:rsidR="00F50865" w:rsidRPr="00D266F6" w:rsidRDefault="00F50865" w:rsidP="00F50865">
      <w:pPr>
        <w:pStyle w:val="Prrafodelista"/>
        <w:rPr>
          <w:rFonts w:ascii="Tahoma" w:hAnsi="Tahoma" w:cs="Tahoma"/>
          <w:sz w:val="22"/>
          <w:szCs w:val="22"/>
        </w:rPr>
      </w:pPr>
    </w:p>
    <w:p w:rsidR="00F50865" w:rsidRPr="00D266F6" w:rsidRDefault="00F50865" w:rsidP="00F50865">
      <w:pPr>
        <w:pStyle w:val="Sangradetextonormal"/>
        <w:numPr>
          <w:ilvl w:val="0"/>
          <w:numId w:val="4"/>
        </w:numPr>
        <w:tabs>
          <w:tab w:val="clear" w:pos="360"/>
          <w:tab w:val="left" w:pos="0"/>
        </w:tabs>
        <w:spacing w:after="0"/>
        <w:ind w:left="567" w:hanging="567"/>
        <w:jc w:val="both"/>
        <w:rPr>
          <w:rFonts w:ascii="Tahoma" w:hAnsi="Tahoma" w:cs="Tahoma"/>
          <w:sz w:val="22"/>
          <w:szCs w:val="22"/>
        </w:rPr>
      </w:pPr>
      <w:r w:rsidRPr="00D266F6">
        <w:rPr>
          <w:rFonts w:ascii="Tahoma" w:hAnsi="Tahoma" w:cs="Tahoma"/>
          <w:sz w:val="22"/>
          <w:szCs w:val="22"/>
        </w:rPr>
        <w:t>Ahora bien, cabe señalar que, para la infracción cometida por el Postor, el Reglamento ha previsto una sanción administrativa de inhabilitación temporal para participar en procesos de selección y contratar con el Estado por un periodo no menor de tres (3) ni mayor de doce (12) meses.</w:t>
      </w:r>
    </w:p>
    <w:p w:rsidR="00F50865" w:rsidRPr="00D266F6" w:rsidRDefault="00F50865" w:rsidP="00F50865">
      <w:pPr>
        <w:pStyle w:val="Prrafodelista"/>
        <w:rPr>
          <w:rFonts w:ascii="Tahoma" w:hAnsi="Tahoma" w:cs="Tahoma"/>
          <w:sz w:val="22"/>
          <w:szCs w:val="22"/>
        </w:rPr>
      </w:pPr>
    </w:p>
    <w:p w:rsidR="00F50865" w:rsidRPr="00D266F6" w:rsidRDefault="00F50865" w:rsidP="00F50865">
      <w:pPr>
        <w:numPr>
          <w:ilvl w:val="0"/>
          <w:numId w:val="4"/>
        </w:numPr>
        <w:tabs>
          <w:tab w:val="clear" w:pos="360"/>
          <w:tab w:val="num" w:pos="0"/>
        </w:tabs>
        <w:ind w:left="567" w:hanging="567"/>
        <w:jc w:val="both"/>
        <w:rPr>
          <w:rFonts w:ascii="Tahoma" w:hAnsi="Tahoma" w:cs="Tahoma"/>
          <w:sz w:val="22"/>
          <w:szCs w:val="22"/>
        </w:rPr>
      </w:pPr>
      <w:r w:rsidRPr="00D266F6">
        <w:rPr>
          <w:rFonts w:ascii="Tahoma" w:hAnsi="Tahoma" w:cs="Tahoma"/>
          <w:sz w:val="22"/>
          <w:szCs w:val="22"/>
        </w:rPr>
        <w:t xml:space="preserve">En tal sentido, y a efectos de graduar la sanción a imponerse, este Colegiado tiene en consideración los criterios consignados en el artículo 302 </w:t>
      </w:r>
      <w:r w:rsidRPr="00D266F6">
        <w:rPr>
          <w:rFonts w:ascii="Tahoma" w:hAnsi="Tahoma" w:cs="Tahoma"/>
          <w:color w:val="000000"/>
          <w:sz w:val="22"/>
          <w:szCs w:val="22"/>
        </w:rPr>
        <w:t>del</w:t>
      </w:r>
      <w:r w:rsidRPr="00D266F6">
        <w:rPr>
          <w:rFonts w:ascii="Tahoma" w:hAnsi="Tahoma" w:cs="Tahoma"/>
          <w:sz w:val="22"/>
          <w:szCs w:val="22"/>
        </w:rPr>
        <w:t xml:space="preserve"> Reglamento, entre ellos, la naturaleza de la infracción, la intencionalidad del infractor, la reiterancia, el reconocimiento de la infracción antes de que sea detectada y la conducta procesal. </w:t>
      </w:r>
    </w:p>
    <w:p w:rsidR="00F50865" w:rsidRPr="00D266F6" w:rsidRDefault="00F50865" w:rsidP="00D266F6">
      <w:pPr>
        <w:jc w:val="both"/>
        <w:rPr>
          <w:rFonts w:ascii="Tahoma" w:hAnsi="Tahoma" w:cs="Tahoma"/>
          <w:sz w:val="22"/>
          <w:szCs w:val="22"/>
        </w:rPr>
      </w:pPr>
    </w:p>
    <w:p w:rsidR="00F50865" w:rsidRPr="00D266F6" w:rsidRDefault="00F50865" w:rsidP="00F50865">
      <w:pPr>
        <w:numPr>
          <w:ilvl w:val="0"/>
          <w:numId w:val="4"/>
        </w:numPr>
        <w:tabs>
          <w:tab w:val="clear" w:pos="360"/>
          <w:tab w:val="num" w:pos="0"/>
        </w:tabs>
        <w:ind w:left="567" w:hanging="567"/>
        <w:jc w:val="both"/>
        <w:rPr>
          <w:rFonts w:ascii="Tahoma" w:hAnsi="Tahoma" w:cs="Tahoma"/>
          <w:sz w:val="22"/>
          <w:szCs w:val="22"/>
        </w:rPr>
      </w:pPr>
      <w:r w:rsidRPr="00D266F6">
        <w:rPr>
          <w:rFonts w:ascii="Tahoma" w:hAnsi="Tahoma" w:cs="Tahoma"/>
          <w:sz w:val="22"/>
          <w:szCs w:val="22"/>
        </w:rPr>
        <w:t xml:space="preserve">Al respecto, debe tenerse en consideración que, por su naturaleza, la infracción cometida reviste una considerable gravedad, debido a que vulnera el </w:t>
      </w:r>
      <w:r w:rsidRPr="00D266F6">
        <w:rPr>
          <w:rFonts w:ascii="Tahoma" w:hAnsi="Tahoma" w:cs="Tahoma"/>
          <w:i/>
          <w:sz w:val="22"/>
          <w:szCs w:val="22"/>
        </w:rPr>
        <w:t xml:space="preserve">Principio de Moralidad </w:t>
      </w:r>
      <w:r w:rsidRPr="00D266F6">
        <w:rPr>
          <w:rFonts w:ascii="Tahoma" w:hAnsi="Tahoma" w:cs="Tahoma"/>
          <w:sz w:val="22"/>
          <w:szCs w:val="22"/>
        </w:rPr>
        <w:t xml:space="preserve">que debe regir todos los actos vinculados a las contrataciones públicas. Por lo demás, dicho principio, junto a la </w:t>
      </w:r>
      <w:r w:rsidRPr="00D266F6">
        <w:rPr>
          <w:rFonts w:ascii="Tahoma" w:hAnsi="Tahoma" w:cs="Tahoma"/>
          <w:i/>
          <w:sz w:val="22"/>
          <w:szCs w:val="22"/>
        </w:rPr>
        <w:t>fe pública</w:t>
      </w:r>
      <w:r w:rsidRPr="00D266F6">
        <w:rPr>
          <w:rFonts w:ascii="Tahoma" w:hAnsi="Tahoma" w:cs="Tahoma"/>
          <w:sz w:val="22"/>
          <w:szCs w:val="22"/>
        </w:rPr>
        <w:t>, constituyen bienes jurídicos merecedores de protección especial, pues constituyen los pilares de las relaciones suscitadas entre la Administración Pública y los administrados.</w:t>
      </w:r>
    </w:p>
    <w:p w:rsidR="00F50865" w:rsidRPr="00D266F6" w:rsidRDefault="00F50865" w:rsidP="00F50865">
      <w:pPr>
        <w:pStyle w:val="Prrafodelista"/>
        <w:rPr>
          <w:rFonts w:ascii="Tahoma" w:hAnsi="Tahoma" w:cs="Tahoma"/>
          <w:sz w:val="22"/>
          <w:szCs w:val="22"/>
        </w:rPr>
      </w:pPr>
    </w:p>
    <w:p w:rsidR="00F50865" w:rsidRPr="00D266F6" w:rsidRDefault="00F50865" w:rsidP="00F50865">
      <w:pPr>
        <w:numPr>
          <w:ilvl w:val="0"/>
          <w:numId w:val="4"/>
        </w:numPr>
        <w:tabs>
          <w:tab w:val="clear" w:pos="360"/>
          <w:tab w:val="num" w:pos="0"/>
        </w:tabs>
        <w:ind w:left="567" w:hanging="567"/>
        <w:jc w:val="both"/>
        <w:rPr>
          <w:rFonts w:ascii="Tahoma" w:hAnsi="Tahoma" w:cs="Tahoma"/>
          <w:sz w:val="22"/>
          <w:szCs w:val="22"/>
        </w:rPr>
      </w:pPr>
      <w:r w:rsidRPr="00D266F6">
        <w:rPr>
          <w:rFonts w:ascii="Tahoma" w:hAnsi="Tahoma" w:cs="Tahoma"/>
          <w:sz w:val="22"/>
          <w:szCs w:val="22"/>
        </w:rPr>
        <w:t xml:space="preserve">Respecto de la intencionalidad, se verifica que la presentación de los comprobantes de pago tenían por finalidad acreditar el cumplimiento del factor de evaluación experiencia empresarial y, seguidamente el puntaje mínimo en la propuesta técnica, para así pasar a la siguiente etapa de evaluación económica, a fin que se considere válida su propuesta, lo que sucedió al haber obtenido el segundo lugar en el orden de prelación en un proceso de selección por un valor referencial de S/. 84,850.0; </w:t>
      </w:r>
      <w:r w:rsidRPr="00D266F6">
        <w:rPr>
          <w:rFonts w:ascii="Tahoma" w:hAnsi="Tahoma" w:cs="Tahoma"/>
          <w:sz w:val="22"/>
          <w:szCs w:val="22"/>
          <w:lang w:val="es-PE"/>
        </w:rPr>
        <w:t>lo que revela la existencia de intencionalidad.</w:t>
      </w:r>
    </w:p>
    <w:p w:rsidR="00F50865" w:rsidRPr="00D266F6" w:rsidRDefault="00F50865" w:rsidP="00F50865">
      <w:pPr>
        <w:pStyle w:val="Prrafodelista"/>
        <w:rPr>
          <w:rFonts w:ascii="Tahoma" w:hAnsi="Tahoma" w:cs="Tahoma"/>
          <w:sz w:val="22"/>
          <w:szCs w:val="22"/>
        </w:rPr>
      </w:pPr>
    </w:p>
    <w:p w:rsidR="00F50865" w:rsidRPr="00D266F6" w:rsidRDefault="00F50865" w:rsidP="00F50865">
      <w:pPr>
        <w:numPr>
          <w:ilvl w:val="0"/>
          <w:numId w:val="4"/>
        </w:numPr>
        <w:tabs>
          <w:tab w:val="clear" w:pos="360"/>
          <w:tab w:val="num" w:pos="0"/>
        </w:tabs>
        <w:ind w:left="567" w:hanging="567"/>
        <w:jc w:val="both"/>
        <w:rPr>
          <w:rFonts w:ascii="Tahoma" w:hAnsi="Tahoma" w:cs="Tahoma"/>
          <w:sz w:val="22"/>
          <w:szCs w:val="22"/>
        </w:rPr>
      </w:pPr>
      <w:r w:rsidRPr="00D266F6">
        <w:rPr>
          <w:rFonts w:ascii="Tahoma" w:hAnsi="Tahoma" w:cs="Tahoma"/>
          <w:sz w:val="22"/>
          <w:szCs w:val="22"/>
        </w:rPr>
        <w:t xml:space="preserve">En lo referido a la reiterancia, se precisa que el Postor tiene antecedentes de sanción administrativa, por  Resolución Nº 466-2009-TC-S3 del 13 de febrero de 2009, se le sancionó por ocho meses (del 18 de febrero de 2009 al 17 de octubre de 2009) y Resolución Nº 2169-2009-TC-S1 del 05 de octubre de 2009, se le sancionó por dieciséis meses (del 21 de octubre de 2009 al 20 de febrero de 2011). </w:t>
      </w:r>
    </w:p>
    <w:p w:rsidR="00F50865" w:rsidRPr="00D266F6" w:rsidRDefault="00F50865" w:rsidP="00F50865">
      <w:pPr>
        <w:pStyle w:val="Prrafodelista"/>
        <w:ind w:left="0"/>
        <w:rPr>
          <w:rFonts w:ascii="Tahoma" w:hAnsi="Tahoma" w:cs="Tahoma"/>
          <w:sz w:val="22"/>
          <w:szCs w:val="22"/>
        </w:rPr>
      </w:pPr>
    </w:p>
    <w:p w:rsidR="00F50865" w:rsidRPr="00D266F6" w:rsidRDefault="00F50865" w:rsidP="00D266F6">
      <w:pPr>
        <w:numPr>
          <w:ilvl w:val="0"/>
          <w:numId w:val="4"/>
        </w:numPr>
        <w:tabs>
          <w:tab w:val="clear" w:pos="360"/>
          <w:tab w:val="num" w:pos="0"/>
        </w:tabs>
        <w:ind w:left="567" w:hanging="567"/>
        <w:jc w:val="both"/>
        <w:rPr>
          <w:rFonts w:ascii="Tahoma" w:hAnsi="Tahoma" w:cs="Tahoma"/>
          <w:sz w:val="22"/>
          <w:szCs w:val="22"/>
        </w:rPr>
      </w:pPr>
      <w:r w:rsidRPr="00D266F6">
        <w:rPr>
          <w:rFonts w:ascii="Tahoma" w:hAnsi="Tahoma" w:cs="Tahoma"/>
          <w:sz w:val="22"/>
          <w:szCs w:val="22"/>
        </w:rPr>
        <w:t xml:space="preserve">Por otro lado, se debe tener en cuenta el reconocimiento de la infracción  y la conducta procesal, por cuanto, ha presentado sus descargos, precisando que, si bien  no reconoció su autoría respecto de haber adulterado los documentos, sí reconoció que los mismos no contenían información concordante con la </w:t>
      </w:r>
      <w:r w:rsidRPr="00D266F6">
        <w:rPr>
          <w:rFonts w:ascii="Tahoma" w:hAnsi="Tahoma" w:cs="Tahoma"/>
          <w:sz w:val="22"/>
          <w:szCs w:val="22"/>
        </w:rPr>
        <w:lastRenderedPageBreak/>
        <w:t xml:space="preserve">realidad, aunque fue de manera posterior a la denuncia realizada por la Entidad e inicio del procedimiento administrativo sancionador. </w:t>
      </w:r>
    </w:p>
    <w:p w:rsidR="00D266F6" w:rsidRPr="00D266F6" w:rsidRDefault="00D266F6" w:rsidP="00D266F6">
      <w:pPr>
        <w:tabs>
          <w:tab w:val="left" w:pos="0"/>
        </w:tabs>
        <w:jc w:val="both"/>
        <w:rPr>
          <w:rFonts w:ascii="Tahoma" w:hAnsi="Tahoma" w:cs="Tahoma"/>
          <w:sz w:val="22"/>
          <w:szCs w:val="22"/>
        </w:rPr>
      </w:pPr>
    </w:p>
    <w:p w:rsidR="00F50865" w:rsidRPr="00D266F6" w:rsidRDefault="00F50865" w:rsidP="00F50865">
      <w:pPr>
        <w:numPr>
          <w:ilvl w:val="0"/>
          <w:numId w:val="4"/>
        </w:numPr>
        <w:tabs>
          <w:tab w:val="clear" w:pos="360"/>
          <w:tab w:val="num" w:pos="0"/>
        </w:tabs>
        <w:ind w:left="567" w:hanging="567"/>
        <w:jc w:val="both"/>
        <w:rPr>
          <w:rFonts w:ascii="Tahoma" w:hAnsi="Tahoma" w:cs="Tahoma"/>
          <w:sz w:val="22"/>
          <w:szCs w:val="22"/>
        </w:rPr>
      </w:pPr>
      <w:r w:rsidRPr="00D266F6">
        <w:rPr>
          <w:rFonts w:ascii="Tahoma" w:hAnsi="Tahoma" w:cs="Tahoma"/>
          <w:sz w:val="22"/>
          <w:szCs w:val="22"/>
        </w:rPr>
        <w:t xml:space="preserve">En ese contexto, </w:t>
      </w:r>
      <w:r w:rsidRPr="00D266F6">
        <w:rPr>
          <w:rFonts w:ascii="Tahoma" w:hAnsi="Tahoma" w:cs="Tahoma"/>
          <w:color w:val="000000"/>
          <w:sz w:val="22"/>
          <w:szCs w:val="22"/>
        </w:rPr>
        <w:t xml:space="preserve">resulta importante traer a colación el </w:t>
      </w:r>
      <w:r w:rsidRPr="00D266F6">
        <w:rPr>
          <w:rFonts w:ascii="Tahoma" w:hAnsi="Tahoma" w:cs="Tahoma"/>
          <w:i/>
          <w:iCs/>
          <w:color w:val="000000"/>
          <w:sz w:val="22"/>
          <w:szCs w:val="22"/>
        </w:rPr>
        <w:t>Principio de Razonabilidad</w:t>
      </w:r>
      <w:r w:rsidRPr="00D266F6">
        <w:rPr>
          <w:rFonts w:ascii="Tahoma" w:hAnsi="Tahoma" w:cs="Tahoma"/>
          <w:color w:val="000000"/>
          <w:sz w:val="22"/>
          <w:szCs w:val="22"/>
        </w:rPr>
        <w:t xml:space="preserve"> consagrado en el numeral 3 del artículo 230 de la Ley del Procedimiento Administrativo General, por medio del cual las autoridades deben </w:t>
      </w:r>
      <w:r w:rsidRPr="00D266F6">
        <w:rPr>
          <w:rFonts w:ascii="Tahoma" w:hAnsi="Tahoma" w:cs="Tahoma"/>
          <w:sz w:val="22"/>
          <w:szCs w:val="22"/>
        </w:rPr>
        <w:t>prever</w:t>
      </w:r>
      <w:r w:rsidRPr="00D266F6">
        <w:rPr>
          <w:rFonts w:ascii="Tahoma" w:hAnsi="Tahoma" w:cs="Tahoma"/>
          <w:color w:val="000000"/>
          <w:sz w:val="22"/>
          <w:szCs w:val="22"/>
        </w:rPr>
        <w:t xml:space="preserve"> que la comisión de la conducta sancionable no resulte más ventajosa para el infractor que cumplir las normas infringidas o asumir la sanción; así como que la determinación de la sanción considera cuatro criterios de graduación agravantes y tres criterios de graduación atenuantes.</w:t>
      </w:r>
    </w:p>
    <w:p w:rsidR="00F50865" w:rsidRPr="00D266F6" w:rsidRDefault="00F50865" w:rsidP="00F50865">
      <w:pPr>
        <w:pStyle w:val="Prrafodelista"/>
        <w:rPr>
          <w:rFonts w:ascii="Tahoma" w:hAnsi="Tahoma" w:cs="Tahoma"/>
          <w:sz w:val="22"/>
          <w:szCs w:val="22"/>
        </w:rPr>
      </w:pPr>
    </w:p>
    <w:p w:rsidR="00EB1CAB" w:rsidRPr="00D266F6" w:rsidRDefault="00F50865" w:rsidP="00F50865">
      <w:pPr>
        <w:numPr>
          <w:ilvl w:val="0"/>
          <w:numId w:val="4"/>
        </w:numPr>
        <w:tabs>
          <w:tab w:val="clear" w:pos="360"/>
          <w:tab w:val="num" w:pos="0"/>
        </w:tabs>
        <w:ind w:left="567" w:hanging="567"/>
        <w:jc w:val="both"/>
        <w:rPr>
          <w:rFonts w:ascii="Tahoma" w:hAnsi="Tahoma" w:cs="Tahoma"/>
          <w:sz w:val="22"/>
          <w:szCs w:val="22"/>
        </w:rPr>
      </w:pPr>
      <w:r w:rsidRPr="00D266F6">
        <w:rPr>
          <w:rFonts w:ascii="Tahoma" w:hAnsi="Tahoma" w:cs="Tahoma"/>
          <w:sz w:val="22"/>
          <w:szCs w:val="22"/>
        </w:rPr>
        <w:t>Finalmente, es pertinente indicar que la falsificación de documentos constituye un ilícito penal, previsto y sancionado en el artículo 427 del Código Penal</w:t>
      </w:r>
      <w:r w:rsidRPr="00D266F6">
        <w:rPr>
          <w:rStyle w:val="Refdenotaalpie"/>
          <w:rFonts w:ascii="Tahoma" w:hAnsi="Tahoma" w:cs="Tahoma"/>
          <w:sz w:val="22"/>
          <w:szCs w:val="22"/>
        </w:rPr>
        <w:footnoteReference w:id="12"/>
      </w:r>
      <w:r w:rsidRPr="00D266F6">
        <w:rPr>
          <w:rFonts w:ascii="Tahoma" w:hAnsi="Tahoma" w:cs="Tahoma"/>
          <w:sz w:val="22"/>
          <w:szCs w:val="22"/>
        </w:rPr>
        <w:t>, el cual tutela como bien jurídico la fe pública y la funcionalidad del documento en el tráfico jurídico y trata de evitar perjuicios que afecten la confiabilidad especialmente en las adquisiciones que realiza el Estado. Por tanto, debe ponerse en conocimiento del Ministerio Público los hechos expuestos para que proceda conforme a sus atribuciones.</w:t>
      </w:r>
    </w:p>
    <w:p w:rsidR="00F50865" w:rsidRPr="00D266F6" w:rsidRDefault="00F50865" w:rsidP="00F50865">
      <w:pPr>
        <w:jc w:val="both"/>
        <w:rPr>
          <w:rFonts w:ascii="Tahoma" w:hAnsi="Tahoma" w:cs="Tahoma"/>
          <w:sz w:val="22"/>
          <w:szCs w:val="22"/>
        </w:rPr>
      </w:pPr>
    </w:p>
    <w:p w:rsidR="00EB1CAB" w:rsidRPr="00D266F6" w:rsidRDefault="00EB1CAB" w:rsidP="00EB1CAB">
      <w:pPr>
        <w:jc w:val="both"/>
        <w:rPr>
          <w:rFonts w:ascii="Tahoma" w:hAnsi="Tahoma" w:cs="Tahoma"/>
          <w:sz w:val="22"/>
          <w:szCs w:val="22"/>
        </w:rPr>
      </w:pPr>
      <w:r w:rsidRPr="00D266F6">
        <w:rPr>
          <w:rFonts w:ascii="Tahoma" w:hAnsi="Tahoma" w:cs="Tahoma"/>
          <w:sz w:val="22"/>
          <w:szCs w:val="22"/>
        </w:rPr>
        <w:t>Por estos fundamentos, de conformidad con el informe del Vocal Ponente Dr. Martín Zumaeta Giudichi y la intervención de los Vocales Doctores Patricia Seminario Zavala y Dammar Salazar Díaz, en reemplazo de la Dra. Wina Isasi Berrospi por ausencia justificada,</w:t>
      </w:r>
      <w:r w:rsidRPr="00D266F6">
        <w:rPr>
          <w:rFonts w:ascii="Tahoma" w:eastAsia="Calibri" w:hAnsi="Tahoma" w:cs="Tahoma"/>
          <w:color w:val="000000"/>
          <w:sz w:val="22"/>
          <w:szCs w:val="22"/>
        </w:rPr>
        <w:t xml:space="preserve"> de conformidad con el Acuerdo de Sala Plena N.º 002/2010.TC del 31 de marzo de 2010</w:t>
      </w:r>
      <w:r w:rsidRPr="00D266F6">
        <w:rPr>
          <w:rFonts w:ascii="Tahoma" w:hAnsi="Tahoma" w:cs="Tahoma"/>
          <w:sz w:val="22"/>
          <w:szCs w:val="22"/>
        </w:rPr>
        <w:t>,</w:t>
      </w:r>
      <w:r w:rsidRPr="00D266F6">
        <w:rPr>
          <w:rFonts w:ascii="Tahoma" w:eastAsia="Calibri" w:hAnsi="Tahoma" w:cs="Tahoma"/>
          <w:color w:val="000000"/>
          <w:sz w:val="22"/>
          <w:szCs w:val="22"/>
        </w:rPr>
        <w:t xml:space="preserve"> </w:t>
      </w:r>
      <w:r w:rsidRPr="00D266F6">
        <w:rPr>
          <w:rFonts w:ascii="Tahoma" w:hAnsi="Tahoma" w:cs="Tahoma"/>
          <w:sz w:val="22"/>
          <w:szCs w:val="22"/>
        </w:rPr>
        <w:t>y atendiendo a la conformación de la Cuarta Sala del Tribunal de Contrataciones del Estado según lo dispuesto en la Resolución Nº 190-2010-OSCE/PRE, expedida el 29 de marzo de 2010</w:t>
      </w:r>
      <w:r w:rsidRPr="00D266F6">
        <w:rPr>
          <w:rFonts w:ascii="Tahoma" w:eastAsia="Calibri" w:hAnsi="Tahoma" w:cs="Tahoma"/>
          <w:color w:val="000000"/>
          <w:sz w:val="22"/>
          <w:szCs w:val="22"/>
        </w:rPr>
        <w:t xml:space="preserve">, </w:t>
      </w:r>
      <w:r w:rsidRPr="00D266F6">
        <w:rPr>
          <w:rFonts w:ascii="Tahoma" w:hAnsi="Tahoma" w:cs="Tahoma"/>
          <w:sz w:val="22"/>
          <w:szCs w:val="22"/>
        </w:rPr>
        <w:t>y en ejercicio de las facultades conferidas en los artículos 53, 59 y 61 aprobado por Decreto Legislativo № 1017, Ley de Contrataciones del Estado,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EB1CAB" w:rsidRPr="00D266F6" w:rsidRDefault="00EB1CAB" w:rsidP="00EB1CAB">
      <w:pPr>
        <w:jc w:val="both"/>
        <w:rPr>
          <w:rFonts w:ascii="Tahoma" w:hAnsi="Tahoma" w:cs="Tahoma"/>
          <w:b/>
          <w:shadow/>
          <w:sz w:val="22"/>
          <w:szCs w:val="22"/>
        </w:rPr>
      </w:pPr>
    </w:p>
    <w:p w:rsidR="00EB1CAB" w:rsidRDefault="00EB1CAB" w:rsidP="00EB1CAB">
      <w:pPr>
        <w:jc w:val="both"/>
        <w:rPr>
          <w:rFonts w:ascii="Tahoma" w:hAnsi="Tahoma" w:cs="Tahoma"/>
          <w:b/>
          <w:shadow/>
          <w:sz w:val="22"/>
          <w:szCs w:val="22"/>
        </w:rPr>
      </w:pPr>
    </w:p>
    <w:p w:rsidR="00D266F6" w:rsidRDefault="00D266F6" w:rsidP="00EB1CAB">
      <w:pPr>
        <w:jc w:val="both"/>
        <w:rPr>
          <w:rFonts w:ascii="Tahoma" w:hAnsi="Tahoma" w:cs="Tahoma"/>
          <w:b/>
          <w:shadow/>
          <w:sz w:val="22"/>
          <w:szCs w:val="22"/>
        </w:rPr>
      </w:pPr>
    </w:p>
    <w:p w:rsidR="00D266F6" w:rsidRDefault="00D266F6" w:rsidP="00EB1CAB">
      <w:pPr>
        <w:jc w:val="both"/>
        <w:rPr>
          <w:rFonts w:ascii="Tahoma" w:hAnsi="Tahoma" w:cs="Tahoma"/>
          <w:b/>
          <w:shadow/>
          <w:sz w:val="22"/>
          <w:szCs w:val="22"/>
        </w:rPr>
      </w:pPr>
    </w:p>
    <w:p w:rsidR="00D266F6" w:rsidRDefault="00D266F6" w:rsidP="00EB1CAB">
      <w:pPr>
        <w:jc w:val="both"/>
        <w:rPr>
          <w:rFonts w:ascii="Tahoma" w:hAnsi="Tahoma" w:cs="Tahoma"/>
          <w:b/>
          <w:shadow/>
          <w:sz w:val="22"/>
          <w:szCs w:val="22"/>
        </w:rPr>
      </w:pPr>
    </w:p>
    <w:p w:rsidR="00D266F6" w:rsidRPr="00D266F6" w:rsidRDefault="00D266F6" w:rsidP="00EB1CAB">
      <w:pPr>
        <w:jc w:val="both"/>
        <w:rPr>
          <w:rFonts w:ascii="Tahoma" w:hAnsi="Tahoma" w:cs="Tahoma"/>
          <w:b/>
          <w:shadow/>
          <w:sz w:val="22"/>
          <w:szCs w:val="22"/>
        </w:rPr>
      </w:pPr>
    </w:p>
    <w:p w:rsidR="00EB1CAB" w:rsidRPr="00D266F6" w:rsidRDefault="00EB1CAB" w:rsidP="00EB1CAB">
      <w:pPr>
        <w:jc w:val="both"/>
        <w:rPr>
          <w:rFonts w:ascii="Tahoma" w:hAnsi="Tahoma" w:cs="Tahoma"/>
          <w:b/>
          <w:shadow/>
          <w:sz w:val="22"/>
          <w:szCs w:val="22"/>
        </w:rPr>
      </w:pPr>
      <w:r w:rsidRPr="00D266F6">
        <w:rPr>
          <w:rFonts w:ascii="Tahoma" w:hAnsi="Tahoma" w:cs="Tahoma"/>
          <w:b/>
          <w:shadow/>
          <w:sz w:val="22"/>
          <w:szCs w:val="22"/>
        </w:rPr>
        <w:lastRenderedPageBreak/>
        <w:t>LA SALA RESUELVE:</w:t>
      </w:r>
    </w:p>
    <w:p w:rsidR="00EB1CAB" w:rsidRPr="00D266F6" w:rsidRDefault="00EB1CAB" w:rsidP="00EB1CAB">
      <w:pPr>
        <w:tabs>
          <w:tab w:val="left" w:pos="567"/>
        </w:tabs>
        <w:autoSpaceDE w:val="0"/>
        <w:autoSpaceDN w:val="0"/>
        <w:adjustRightInd w:val="0"/>
        <w:jc w:val="both"/>
        <w:rPr>
          <w:rFonts w:ascii="Tahoma" w:hAnsi="Tahoma" w:cs="Tahoma"/>
          <w:sz w:val="22"/>
          <w:szCs w:val="22"/>
        </w:rPr>
      </w:pPr>
    </w:p>
    <w:p w:rsidR="00EB1CAB" w:rsidRPr="00D266F6" w:rsidRDefault="00EB1CAB" w:rsidP="00EB1CAB">
      <w:pPr>
        <w:tabs>
          <w:tab w:val="left" w:pos="567"/>
        </w:tabs>
        <w:autoSpaceDE w:val="0"/>
        <w:autoSpaceDN w:val="0"/>
        <w:adjustRightInd w:val="0"/>
        <w:jc w:val="both"/>
        <w:rPr>
          <w:rFonts w:ascii="Tahoma" w:hAnsi="Tahoma" w:cs="Tahoma"/>
          <w:sz w:val="22"/>
          <w:szCs w:val="22"/>
        </w:rPr>
      </w:pPr>
    </w:p>
    <w:p w:rsidR="00EB1CAB" w:rsidRPr="00D266F6" w:rsidRDefault="00EB1CAB" w:rsidP="00EB1CAB">
      <w:pPr>
        <w:numPr>
          <w:ilvl w:val="0"/>
          <w:numId w:val="1"/>
        </w:numPr>
        <w:tabs>
          <w:tab w:val="clear" w:pos="720"/>
          <w:tab w:val="left" w:pos="0"/>
        </w:tabs>
        <w:ind w:left="567" w:hanging="567"/>
        <w:jc w:val="both"/>
        <w:rPr>
          <w:rFonts w:ascii="Tahoma" w:hAnsi="Tahoma" w:cs="Tahoma"/>
          <w:sz w:val="22"/>
          <w:szCs w:val="22"/>
        </w:rPr>
      </w:pPr>
      <w:r w:rsidRPr="00D266F6">
        <w:rPr>
          <w:rFonts w:ascii="Tahoma" w:hAnsi="Tahoma" w:cs="Tahoma"/>
          <w:sz w:val="22"/>
          <w:szCs w:val="22"/>
        </w:rPr>
        <w:t>Imponer a DECOSER PUBLICITARIOS S.A.C. sanción administrativa de inhabilitación temporal por el periodo de once (11) meses en sus derechos de participar en procesos de selección y contratar con el Estado, por la comisión de la infracción tipificada en el numeral 9) del artículo 294 del Reglamento de la Ley de Contrataciones y Adquisiciones del Estado, aprobado por Decreto Supremo Nº 084-2008-PCM, la cual entrará en vigencia a partir del sexto de día de notificada la presente Resolución.</w:t>
      </w:r>
    </w:p>
    <w:p w:rsidR="00EB1CAB" w:rsidRPr="00D266F6" w:rsidRDefault="00EB1CAB" w:rsidP="00EB1CAB">
      <w:pPr>
        <w:tabs>
          <w:tab w:val="left" w:pos="0"/>
        </w:tabs>
        <w:jc w:val="both"/>
        <w:rPr>
          <w:rFonts w:ascii="Tahoma" w:hAnsi="Tahoma" w:cs="Tahoma"/>
          <w:sz w:val="22"/>
          <w:szCs w:val="22"/>
        </w:rPr>
      </w:pPr>
    </w:p>
    <w:p w:rsidR="00EB1CAB" w:rsidRPr="00D266F6" w:rsidRDefault="00EB1CAB" w:rsidP="00EB1CAB">
      <w:pPr>
        <w:numPr>
          <w:ilvl w:val="0"/>
          <w:numId w:val="1"/>
        </w:numPr>
        <w:tabs>
          <w:tab w:val="clear" w:pos="720"/>
          <w:tab w:val="left" w:pos="0"/>
        </w:tabs>
        <w:ind w:left="567" w:hanging="567"/>
        <w:jc w:val="both"/>
        <w:rPr>
          <w:rFonts w:ascii="Tahoma" w:hAnsi="Tahoma" w:cs="Tahoma"/>
          <w:b/>
          <w:sz w:val="22"/>
          <w:szCs w:val="22"/>
        </w:rPr>
      </w:pPr>
      <w:r w:rsidRPr="00D266F6">
        <w:rPr>
          <w:rFonts w:ascii="Tahoma" w:hAnsi="Tahoma" w:cs="Tahoma"/>
          <w:sz w:val="22"/>
          <w:szCs w:val="22"/>
        </w:rPr>
        <w:t>Poner la presente Resolución en conocimiento de la Subdirección del Registro Nacional de Proveedores del Organismo Supervisor de Contrataciones del Estado (OSCE), para las anotaciones de Ley.</w:t>
      </w:r>
    </w:p>
    <w:p w:rsidR="00EB1CAB" w:rsidRPr="00D266F6" w:rsidRDefault="00EB1CAB" w:rsidP="00EB1CAB">
      <w:pPr>
        <w:pStyle w:val="Prrafodelista"/>
        <w:rPr>
          <w:rFonts w:ascii="Tahoma" w:hAnsi="Tahoma" w:cs="Tahoma"/>
          <w:sz w:val="22"/>
          <w:szCs w:val="22"/>
        </w:rPr>
      </w:pPr>
    </w:p>
    <w:p w:rsidR="00EB1CAB" w:rsidRPr="00D266F6" w:rsidRDefault="00EB1CAB" w:rsidP="00EB1CAB">
      <w:pPr>
        <w:numPr>
          <w:ilvl w:val="0"/>
          <w:numId w:val="1"/>
        </w:numPr>
        <w:tabs>
          <w:tab w:val="clear" w:pos="720"/>
          <w:tab w:val="left" w:pos="0"/>
        </w:tabs>
        <w:ind w:left="567" w:hanging="567"/>
        <w:jc w:val="both"/>
        <w:rPr>
          <w:rFonts w:ascii="Tahoma" w:hAnsi="Tahoma" w:cs="Tahoma"/>
          <w:b/>
          <w:sz w:val="22"/>
          <w:szCs w:val="22"/>
        </w:rPr>
      </w:pPr>
      <w:r w:rsidRPr="00D266F6">
        <w:rPr>
          <w:rFonts w:ascii="Tahoma" w:hAnsi="Tahoma" w:cs="Tahoma"/>
          <w:sz w:val="22"/>
          <w:szCs w:val="22"/>
        </w:rPr>
        <w:t>Poner en conocimiento del Ministerio Público la presente resolución, de acuerdo a los fundamentos expuestos.</w:t>
      </w:r>
    </w:p>
    <w:p w:rsidR="00EB1CAB" w:rsidRPr="00D266F6" w:rsidRDefault="00EB1CAB" w:rsidP="00EB1CAB">
      <w:pPr>
        <w:pStyle w:val="Prrafodelista"/>
        <w:rPr>
          <w:rFonts w:ascii="Tahoma" w:hAnsi="Tahoma" w:cs="Tahoma"/>
          <w:b/>
          <w:sz w:val="22"/>
          <w:szCs w:val="22"/>
        </w:rPr>
      </w:pPr>
    </w:p>
    <w:p w:rsidR="00EB1CAB" w:rsidRPr="00D266F6" w:rsidRDefault="00EB1CAB" w:rsidP="00EB1CAB">
      <w:pPr>
        <w:tabs>
          <w:tab w:val="left" w:pos="0"/>
        </w:tabs>
        <w:ind w:left="567"/>
        <w:jc w:val="both"/>
        <w:rPr>
          <w:rFonts w:ascii="Tahoma" w:hAnsi="Tahoma" w:cs="Tahoma"/>
          <w:b/>
          <w:sz w:val="22"/>
          <w:szCs w:val="22"/>
        </w:rPr>
      </w:pPr>
    </w:p>
    <w:p w:rsidR="00EB1CAB" w:rsidRPr="00D266F6" w:rsidRDefault="00EB1CAB" w:rsidP="00EB1CAB">
      <w:pPr>
        <w:jc w:val="both"/>
        <w:rPr>
          <w:rFonts w:ascii="Tahoma" w:hAnsi="Tahoma" w:cs="Tahoma"/>
          <w:sz w:val="22"/>
          <w:szCs w:val="22"/>
        </w:rPr>
      </w:pPr>
      <w:r w:rsidRPr="00D266F6">
        <w:rPr>
          <w:rFonts w:ascii="Tahoma" w:hAnsi="Tahoma" w:cs="Tahoma"/>
          <w:sz w:val="22"/>
          <w:szCs w:val="22"/>
        </w:rPr>
        <w:t>Regístrese, comuníquese y publíquese.</w:t>
      </w:r>
    </w:p>
    <w:p w:rsidR="00EB1CAB" w:rsidRPr="00D266F6" w:rsidRDefault="00EB1CAB" w:rsidP="00EB1CAB">
      <w:pPr>
        <w:jc w:val="both"/>
        <w:rPr>
          <w:rFonts w:ascii="Tahoma" w:hAnsi="Tahoma" w:cs="Tahoma"/>
          <w:sz w:val="22"/>
          <w:szCs w:val="22"/>
        </w:rPr>
      </w:pPr>
    </w:p>
    <w:p w:rsidR="00EB1CAB" w:rsidRPr="00D266F6" w:rsidRDefault="00EB1CAB" w:rsidP="00EB1CAB">
      <w:pPr>
        <w:rPr>
          <w:rFonts w:ascii="Tahoma" w:hAnsi="Tahoma" w:cs="Tahoma"/>
          <w:sz w:val="22"/>
          <w:szCs w:val="22"/>
        </w:rPr>
      </w:pPr>
    </w:p>
    <w:p w:rsidR="00EB1CAB" w:rsidRPr="00D266F6" w:rsidRDefault="00EB1CAB" w:rsidP="00EB1CAB">
      <w:pPr>
        <w:rPr>
          <w:rFonts w:ascii="Tahoma" w:hAnsi="Tahoma" w:cs="Tahoma"/>
          <w:sz w:val="22"/>
          <w:szCs w:val="22"/>
        </w:rPr>
      </w:pPr>
    </w:p>
    <w:p w:rsidR="00EB1CAB" w:rsidRPr="00D266F6" w:rsidRDefault="00EB1CAB" w:rsidP="00EB1CAB">
      <w:pPr>
        <w:rPr>
          <w:rFonts w:ascii="Tahoma" w:hAnsi="Tahoma" w:cs="Tahoma"/>
          <w:sz w:val="22"/>
          <w:szCs w:val="22"/>
        </w:rPr>
      </w:pPr>
    </w:p>
    <w:p w:rsidR="00EB1CAB" w:rsidRPr="00D266F6" w:rsidRDefault="00EB1CAB" w:rsidP="00EB1CAB">
      <w:pPr>
        <w:rPr>
          <w:rFonts w:ascii="Tahoma" w:hAnsi="Tahoma" w:cs="Tahoma"/>
          <w:sz w:val="22"/>
          <w:szCs w:val="22"/>
        </w:rPr>
      </w:pPr>
    </w:p>
    <w:p w:rsidR="00EB1CAB" w:rsidRPr="00D266F6" w:rsidRDefault="00EB1CAB" w:rsidP="00EB1CAB">
      <w:pPr>
        <w:rPr>
          <w:rFonts w:ascii="Tahoma" w:hAnsi="Tahoma" w:cs="Tahoma"/>
          <w:sz w:val="22"/>
          <w:szCs w:val="22"/>
        </w:rPr>
      </w:pPr>
    </w:p>
    <w:p w:rsidR="00EB1CAB" w:rsidRPr="00D266F6" w:rsidRDefault="00EB1CAB" w:rsidP="00EB1CAB">
      <w:pPr>
        <w:jc w:val="center"/>
        <w:rPr>
          <w:rFonts w:ascii="Tahoma" w:hAnsi="Tahoma" w:cs="Tahoma"/>
          <w:b/>
          <w:sz w:val="22"/>
          <w:szCs w:val="22"/>
        </w:rPr>
      </w:pPr>
      <w:r w:rsidRPr="00D266F6">
        <w:rPr>
          <w:rFonts w:ascii="Tahoma" w:hAnsi="Tahoma" w:cs="Tahoma"/>
          <w:b/>
          <w:sz w:val="22"/>
          <w:szCs w:val="22"/>
        </w:rPr>
        <w:t>PRESIDENTE</w:t>
      </w:r>
    </w:p>
    <w:p w:rsidR="00EB1CAB" w:rsidRPr="00D266F6" w:rsidRDefault="00EB1CAB" w:rsidP="00EB1CAB">
      <w:pPr>
        <w:jc w:val="center"/>
        <w:rPr>
          <w:rFonts w:ascii="Tahoma" w:hAnsi="Tahoma" w:cs="Tahoma"/>
          <w:b/>
          <w:sz w:val="22"/>
          <w:szCs w:val="22"/>
        </w:rPr>
      </w:pPr>
    </w:p>
    <w:p w:rsidR="00EB1CAB" w:rsidRPr="00D266F6" w:rsidRDefault="00EB1CAB" w:rsidP="00EB1CAB">
      <w:pPr>
        <w:jc w:val="center"/>
        <w:rPr>
          <w:rFonts w:ascii="Tahoma" w:hAnsi="Tahoma" w:cs="Tahoma"/>
          <w:b/>
          <w:sz w:val="22"/>
          <w:szCs w:val="22"/>
        </w:rPr>
      </w:pPr>
    </w:p>
    <w:p w:rsidR="00EB1CAB" w:rsidRPr="00D266F6" w:rsidRDefault="00EB1CAB" w:rsidP="00EB1CAB">
      <w:pPr>
        <w:jc w:val="center"/>
        <w:rPr>
          <w:rFonts w:ascii="Tahoma" w:hAnsi="Tahoma" w:cs="Tahoma"/>
          <w:b/>
          <w:sz w:val="22"/>
          <w:szCs w:val="22"/>
        </w:rPr>
      </w:pPr>
    </w:p>
    <w:p w:rsidR="00EB1CAB" w:rsidRPr="00D266F6" w:rsidRDefault="00EB1CAB" w:rsidP="00EB1CAB">
      <w:pPr>
        <w:jc w:val="center"/>
        <w:rPr>
          <w:rFonts w:ascii="Tahoma" w:hAnsi="Tahoma" w:cs="Tahoma"/>
          <w:b/>
          <w:sz w:val="22"/>
          <w:szCs w:val="22"/>
        </w:rPr>
      </w:pPr>
    </w:p>
    <w:p w:rsidR="00EB1CAB" w:rsidRPr="00D266F6" w:rsidRDefault="00EB1CAB" w:rsidP="00EB1CAB">
      <w:pPr>
        <w:jc w:val="center"/>
        <w:rPr>
          <w:rFonts w:ascii="Tahoma" w:hAnsi="Tahoma" w:cs="Tahoma"/>
          <w:b/>
          <w:sz w:val="22"/>
          <w:szCs w:val="22"/>
        </w:rPr>
      </w:pPr>
    </w:p>
    <w:p w:rsidR="00EB1CAB" w:rsidRPr="00D266F6" w:rsidRDefault="00EB1CAB" w:rsidP="00EB1CAB">
      <w:pPr>
        <w:jc w:val="center"/>
        <w:rPr>
          <w:rFonts w:ascii="Tahoma" w:hAnsi="Tahoma" w:cs="Tahoma"/>
          <w:b/>
          <w:sz w:val="22"/>
          <w:szCs w:val="22"/>
        </w:rPr>
      </w:pPr>
    </w:p>
    <w:p w:rsidR="00EB1CAB" w:rsidRPr="00D266F6" w:rsidRDefault="00EB1CAB" w:rsidP="00EB1CAB">
      <w:pPr>
        <w:jc w:val="center"/>
        <w:rPr>
          <w:rFonts w:ascii="Tahoma" w:hAnsi="Tahoma" w:cs="Tahoma"/>
          <w:b/>
          <w:sz w:val="22"/>
          <w:szCs w:val="22"/>
        </w:rPr>
      </w:pPr>
      <w:r w:rsidRPr="00D266F6">
        <w:rPr>
          <w:rFonts w:ascii="Tahoma" w:hAnsi="Tahoma" w:cs="Tahoma"/>
          <w:b/>
          <w:sz w:val="22"/>
          <w:szCs w:val="22"/>
        </w:rPr>
        <w:t>VOCAL</w:t>
      </w:r>
      <w:r w:rsidRPr="00D266F6">
        <w:rPr>
          <w:rFonts w:ascii="Tahoma" w:hAnsi="Tahoma" w:cs="Tahoma"/>
          <w:b/>
          <w:sz w:val="22"/>
          <w:szCs w:val="22"/>
        </w:rPr>
        <w:tab/>
      </w:r>
      <w:r w:rsidRPr="00D266F6">
        <w:rPr>
          <w:rFonts w:ascii="Tahoma" w:hAnsi="Tahoma" w:cs="Tahoma"/>
          <w:b/>
          <w:sz w:val="22"/>
          <w:szCs w:val="22"/>
        </w:rPr>
        <w:tab/>
      </w:r>
      <w:r w:rsidRPr="00D266F6">
        <w:rPr>
          <w:rFonts w:ascii="Tahoma" w:hAnsi="Tahoma" w:cs="Tahoma"/>
          <w:b/>
          <w:sz w:val="22"/>
          <w:szCs w:val="22"/>
        </w:rPr>
        <w:tab/>
      </w:r>
      <w:r w:rsidRPr="00D266F6">
        <w:rPr>
          <w:rFonts w:ascii="Tahoma" w:hAnsi="Tahoma" w:cs="Tahoma"/>
          <w:b/>
          <w:sz w:val="22"/>
          <w:szCs w:val="22"/>
        </w:rPr>
        <w:tab/>
      </w:r>
      <w:r w:rsidRPr="00D266F6">
        <w:rPr>
          <w:rFonts w:ascii="Tahoma" w:hAnsi="Tahoma" w:cs="Tahoma"/>
          <w:b/>
          <w:sz w:val="22"/>
          <w:szCs w:val="22"/>
        </w:rPr>
        <w:tab/>
      </w:r>
      <w:r w:rsidRPr="00D266F6">
        <w:rPr>
          <w:rFonts w:ascii="Tahoma" w:hAnsi="Tahoma" w:cs="Tahoma"/>
          <w:b/>
          <w:sz w:val="22"/>
          <w:szCs w:val="22"/>
        </w:rPr>
        <w:tab/>
      </w:r>
      <w:r w:rsidRPr="00D266F6">
        <w:rPr>
          <w:rFonts w:ascii="Tahoma" w:hAnsi="Tahoma" w:cs="Tahoma"/>
          <w:b/>
          <w:sz w:val="22"/>
          <w:szCs w:val="22"/>
        </w:rPr>
        <w:tab/>
        <w:t>VOCAL</w:t>
      </w:r>
    </w:p>
    <w:p w:rsidR="00EB1CAB" w:rsidRPr="00D266F6" w:rsidRDefault="00EB1CAB" w:rsidP="00EB1CAB">
      <w:pPr>
        <w:jc w:val="both"/>
        <w:rPr>
          <w:rFonts w:ascii="Tahoma" w:hAnsi="Tahoma" w:cs="Tahoma"/>
          <w:sz w:val="22"/>
          <w:szCs w:val="22"/>
          <w:lang w:val="pt-BR"/>
        </w:rPr>
      </w:pPr>
    </w:p>
    <w:p w:rsidR="00EB1CAB" w:rsidRPr="00D266F6" w:rsidRDefault="00EB1CAB" w:rsidP="00EB1CAB">
      <w:pPr>
        <w:jc w:val="both"/>
        <w:rPr>
          <w:rFonts w:ascii="Tahoma" w:hAnsi="Tahoma" w:cs="Tahoma"/>
          <w:sz w:val="22"/>
          <w:szCs w:val="22"/>
          <w:lang w:val="pt-BR"/>
        </w:rPr>
      </w:pPr>
    </w:p>
    <w:p w:rsidR="00EB1CAB" w:rsidRPr="00D266F6" w:rsidRDefault="00EB1CAB" w:rsidP="00EB1CAB">
      <w:pPr>
        <w:jc w:val="both"/>
        <w:rPr>
          <w:rFonts w:ascii="Tahoma" w:hAnsi="Tahoma" w:cs="Tahoma"/>
          <w:sz w:val="22"/>
          <w:szCs w:val="22"/>
          <w:lang w:val="pt-BR"/>
        </w:rPr>
      </w:pPr>
    </w:p>
    <w:p w:rsidR="00EB1CAB" w:rsidRPr="00D266F6" w:rsidRDefault="00EB1CAB" w:rsidP="00EB1CAB">
      <w:pPr>
        <w:jc w:val="both"/>
        <w:rPr>
          <w:rFonts w:ascii="Tahoma" w:hAnsi="Tahoma" w:cs="Tahoma"/>
          <w:sz w:val="22"/>
          <w:szCs w:val="22"/>
          <w:lang w:val="pt-BR"/>
        </w:rPr>
      </w:pPr>
    </w:p>
    <w:p w:rsidR="00EB1CAB" w:rsidRPr="00D266F6" w:rsidRDefault="00EB1CAB" w:rsidP="00EB1CAB">
      <w:pPr>
        <w:jc w:val="both"/>
        <w:rPr>
          <w:rFonts w:ascii="Tahoma" w:hAnsi="Tahoma" w:cs="Tahoma"/>
          <w:sz w:val="22"/>
          <w:szCs w:val="22"/>
          <w:lang w:val="pt-BR"/>
        </w:rPr>
      </w:pPr>
    </w:p>
    <w:p w:rsidR="00EB1CAB" w:rsidRPr="00D266F6" w:rsidRDefault="00EB1CAB" w:rsidP="00EB1CAB">
      <w:pPr>
        <w:jc w:val="both"/>
        <w:rPr>
          <w:rFonts w:ascii="Tahoma" w:hAnsi="Tahoma" w:cs="Tahoma"/>
          <w:sz w:val="22"/>
          <w:szCs w:val="22"/>
          <w:lang w:val="pt-BR"/>
        </w:rPr>
      </w:pPr>
      <w:r w:rsidRPr="00D266F6">
        <w:rPr>
          <w:rFonts w:ascii="Tahoma" w:hAnsi="Tahoma" w:cs="Tahoma"/>
          <w:sz w:val="22"/>
          <w:szCs w:val="22"/>
          <w:lang w:val="pt-BR"/>
        </w:rPr>
        <w:t>ss.</w:t>
      </w:r>
    </w:p>
    <w:p w:rsidR="00EB1CAB" w:rsidRPr="00D266F6" w:rsidRDefault="00EB1CAB" w:rsidP="00EB1CAB">
      <w:pPr>
        <w:pStyle w:val="Textoindependiente21"/>
        <w:tabs>
          <w:tab w:val="left" w:pos="7740"/>
        </w:tabs>
        <w:rPr>
          <w:rFonts w:cs="Tahoma"/>
          <w:szCs w:val="22"/>
        </w:rPr>
      </w:pPr>
      <w:r w:rsidRPr="00D266F6">
        <w:rPr>
          <w:rFonts w:cs="Tahoma"/>
          <w:szCs w:val="22"/>
        </w:rPr>
        <w:t>Seminario Zavala.</w:t>
      </w:r>
    </w:p>
    <w:p w:rsidR="00EB1CAB" w:rsidRPr="00D266F6" w:rsidRDefault="00EB1CAB" w:rsidP="00EB1CAB">
      <w:pPr>
        <w:pStyle w:val="Textoindependiente21"/>
        <w:tabs>
          <w:tab w:val="left" w:pos="7740"/>
        </w:tabs>
        <w:rPr>
          <w:rFonts w:cs="Tahoma"/>
          <w:szCs w:val="22"/>
        </w:rPr>
      </w:pPr>
      <w:r w:rsidRPr="00D266F6">
        <w:rPr>
          <w:rFonts w:cs="Tahoma"/>
          <w:szCs w:val="22"/>
        </w:rPr>
        <w:t>Zumaeta Giudichi.</w:t>
      </w:r>
    </w:p>
    <w:p w:rsidR="00120ADA" w:rsidRPr="000F4ACA" w:rsidRDefault="00EB1CAB" w:rsidP="000F4ACA">
      <w:pPr>
        <w:jc w:val="both"/>
        <w:rPr>
          <w:rFonts w:ascii="Tahoma" w:hAnsi="Tahoma" w:cs="Tahoma"/>
          <w:sz w:val="22"/>
          <w:szCs w:val="22"/>
        </w:rPr>
      </w:pPr>
      <w:r w:rsidRPr="00D266F6">
        <w:rPr>
          <w:rFonts w:ascii="Tahoma" w:hAnsi="Tahoma" w:cs="Tahoma"/>
          <w:color w:val="000000"/>
          <w:sz w:val="22"/>
          <w:szCs w:val="22"/>
        </w:rPr>
        <w:t>Salazar Díaz</w:t>
      </w:r>
      <w:r w:rsidRPr="00D266F6">
        <w:rPr>
          <w:rFonts w:ascii="Tahoma" w:hAnsi="Tahoma" w:cs="Tahoma"/>
          <w:sz w:val="22"/>
          <w:szCs w:val="22"/>
        </w:rPr>
        <w:t>.</w:t>
      </w:r>
    </w:p>
    <w:sectPr w:rsidR="00120ADA" w:rsidRPr="000F4ACA" w:rsidSect="0092604E">
      <w:headerReference w:type="default" r:id="rId8"/>
      <w:footerReference w:type="default" r:id="rId9"/>
      <w:pgSz w:w="11906" w:h="16838"/>
      <w:pgMar w:top="3774" w:right="1826" w:bottom="1134" w:left="1701" w:header="709" w:footer="6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60C0" w:rsidRDefault="00F960C0" w:rsidP="00EB1CAB">
      <w:r>
        <w:separator/>
      </w:r>
    </w:p>
  </w:endnote>
  <w:endnote w:type="continuationSeparator" w:id="1">
    <w:p w:rsidR="00F960C0" w:rsidRDefault="00F960C0" w:rsidP="00EB1C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17272"/>
      <w:docPartObj>
        <w:docPartGallery w:val="Page Numbers (Bottom of Page)"/>
        <w:docPartUnique/>
      </w:docPartObj>
    </w:sdtPr>
    <w:sdtContent>
      <w:sdt>
        <w:sdtPr>
          <w:id w:val="216747541"/>
          <w:docPartObj>
            <w:docPartGallery w:val="Page Numbers (Top of Page)"/>
            <w:docPartUnique/>
          </w:docPartObj>
        </w:sdtPr>
        <w:sdtContent>
          <w:p w:rsidR="0092604E" w:rsidRDefault="000D4FFD">
            <w:pPr>
              <w:pStyle w:val="Piedepgina"/>
              <w:jc w:val="center"/>
            </w:pPr>
            <w:r>
              <w:t xml:space="preserve">Página </w:t>
            </w:r>
            <w:r w:rsidR="00D702CB">
              <w:rPr>
                <w:b/>
              </w:rPr>
              <w:fldChar w:fldCharType="begin"/>
            </w:r>
            <w:r>
              <w:rPr>
                <w:b/>
              </w:rPr>
              <w:instrText>PAGE</w:instrText>
            </w:r>
            <w:r w:rsidR="00D702CB">
              <w:rPr>
                <w:b/>
              </w:rPr>
              <w:fldChar w:fldCharType="separate"/>
            </w:r>
            <w:r w:rsidR="0067484B">
              <w:rPr>
                <w:b/>
                <w:noProof/>
              </w:rPr>
              <w:t>1</w:t>
            </w:r>
            <w:r w:rsidR="00D702CB">
              <w:rPr>
                <w:b/>
              </w:rPr>
              <w:fldChar w:fldCharType="end"/>
            </w:r>
            <w:r>
              <w:t xml:space="preserve"> de </w:t>
            </w:r>
            <w:r w:rsidR="00D702CB">
              <w:rPr>
                <w:b/>
              </w:rPr>
              <w:fldChar w:fldCharType="begin"/>
            </w:r>
            <w:r>
              <w:rPr>
                <w:b/>
              </w:rPr>
              <w:instrText>NUMPAGES</w:instrText>
            </w:r>
            <w:r w:rsidR="00D702CB">
              <w:rPr>
                <w:b/>
              </w:rPr>
              <w:fldChar w:fldCharType="separate"/>
            </w:r>
            <w:r w:rsidR="0067484B">
              <w:rPr>
                <w:b/>
                <w:noProof/>
              </w:rPr>
              <w:t>11</w:t>
            </w:r>
            <w:r w:rsidR="00D702CB">
              <w:rPr>
                <w:b/>
              </w:rPr>
              <w:fldChar w:fldCharType="end"/>
            </w:r>
          </w:p>
        </w:sdtContent>
      </w:sdt>
    </w:sdtContent>
  </w:sdt>
  <w:p w:rsidR="0092604E" w:rsidRPr="00F8574C" w:rsidRDefault="00F960C0" w:rsidP="0092604E">
    <w:pPr>
      <w:pStyle w:val="Piedepgina"/>
      <w:tabs>
        <w:tab w:val="left" w:pos="3510"/>
        <w:tab w:val="center" w:pos="4189"/>
      </w:tabs>
      <w:rPr>
        <w:rFonts w:ascii="Tahoma" w:hAnsi="Tahoma" w:cs="Tahoma"/>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60C0" w:rsidRDefault="00F960C0" w:rsidP="00EB1CAB">
      <w:r>
        <w:separator/>
      </w:r>
    </w:p>
  </w:footnote>
  <w:footnote w:type="continuationSeparator" w:id="1">
    <w:p w:rsidR="00F960C0" w:rsidRDefault="00F960C0" w:rsidP="00EB1CAB">
      <w:r>
        <w:continuationSeparator/>
      </w:r>
    </w:p>
  </w:footnote>
  <w:footnote w:id="2">
    <w:p w:rsidR="00F50865" w:rsidRPr="00CA1C02" w:rsidRDefault="00F50865" w:rsidP="00F50865">
      <w:pPr>
        <w:pStyle w:val="Textonotapie"/>
        <w:rPr>
          <w:rFonts w:ascii="Tahoma" w:hAnsi="Tahoma" w:cs="Tahoma"/>
          <w:i/>
        </w:rPr>
      </w:pPr>
      <w:r w:rsidRPr="00CA1C02">
        <w:rPr>
          <w:rStyle w:val="Refdenotaalpie"/>
          <w:rFonts w:ascii="Tahoma" w:hAnsi="Tahoma" w:cs="Tahoma"/>
          <w:i/>
        </w:rPr>
        <w:footnoteRef/>
      </w:r>
      <w:r w:rsidRPr="00CA1C02">
        <w:rPr>
          <w:rFonts w:ascii="Tahoma" w:hAnsi="Tahoma" w:cs="Tahoma"/>
          <w:i/>
        </w:rPr>
        <w:t xml:space="preserve"> Publicada el 23 de julio de 2006.</w:t>
      </w:r>
    </w:p>
  </w:footnote>
  <w:footnote w:id="3">
    <w:p w:rsidR="00F50865" w:rsidRPr="00CA1C02" w:rsidRDefault="00F50865" w:rsidP="00F50865">
      <w:pPr>
        <w:pStyle w:val="Textonotapie"/>
        <w:rPr>
          <w:rFonts w:ascii="Tahoma" w:hAnsi="Tahoma" w:cs="Tahoma"/>
          <w:i/>
        </w:rPr>
      </w:pPr>
      <w:r w:rsidRPr="00CA1C02">
        <w:rPr>
          <w:rStyle w:val="Refdenotaalpie"/>
          <w:rFonts w:ascii="Tahoma" w:hAnsi="Tahoma" w:cs="Tahoma"/>
          <w:i/>
        </w:rPr>
        <w:footnoteRef/>
      </w:r>
      <w:r w:rsidRPr="00CA1C02">
        <w:rPr>
          <w:rFonts w:ascii="Tahoma" w:hAnsi="Tahoma" w:cs="Tahoma"/>
          <w:i/>
        </w:rPr>
        <w:t xml:space="preserve"> Publicada el 29 de octubre de 2006.</w:t>
      </w:r>
    </w:p>
  </w:footnote>
  <w:footnote w:id="4">
    <w:p w:rsidR="00F50865" w:rsidRPr="00CA1C02" w:rsidRDefault="00F50865" w:rsidP="00F50865">
      <w:pPr>
        <w:pStyle w:val="Textonotapie"/>
        <w:rPr>
          <w:rFonts w:ascii="Tahoma" w:hAnsi="Tahoma" w:cs="Tahoma"/>
          <w:i/>
        </w:rPr>
      </w:pPr>
      <w:r w:rsidRPr="00CA1C02">
        <w:rPr>
          <w:rStyle w:val="Refdenotaalpie"/>
          <w:rFonts w:ascii="Tahoma" w:hAnsi="Tahoma" w:cs="Tahoma"/>
          <w:i/>
        </w:rPr>
        <w:footnoteRef/>
      </w:r>
      <w:r w:rsidRPr="00CA1C02">
        <w:rPr>
          <w:rFonts w:ascii="Tahoma" w:hAnsi="Tahoma" w:cs="Tahoma"/>
          <w:i/>
        </w:rPr>
        <w:t xml:space="preserve"> Publicada el 12 de abril de 2008.</w:t>
      </w:r>
    </w:p>
  </w:footnote>
  <w:footnote w:id="5">
    <w:p w:rsidR="00F50865" w:rsidRPr="00CA1C02" w:rsidRDefault="00F50865" w:rsidP="00F50865">
      <w:pPr>
        <w:pStyle w:val="Textonotapie"/>
        <w:rPr>
          <w:rFonts w:ascii="Tahoma" w:hAnsi="Tahoma" w:cs="Tahoma"/>
          <w:i/>
        </w:rPr>
      </w:pPr>
      <w:r w:rsidRPr="00CA1C02">
        <w:rPr>
          <w:rStyle w:val="Refdenotaalpie"/>
          <w:rFonts w:ascii="Tahoma" w:hAnsi="Tahoma" w:cs="Tahoma"/>
          <w:i/>
        </w:rPr>
        <w:footnoteRef/>
      </w:r>
      <w:r w:rsidRPr="00CA1C02">
        <w:rPr>
          <w:rFonts w:ascii="Tahoma" w:hAnsi="Tahoma" w:cs="Tahoma"/>
          <w:i/>
        </w:rPr>
        <w:t xml:space="preserve"> Téngase presente que dicho cuerpo normativo fue derogado por Decreto Legislativo N.1017, que aprobó la Ley de Contrataciones y Adquisiciones del Estado.</w:t>
      </w:r>
    </w:p>
  </w:footnote>
  <w:footnote w:id="6">
    <w:p w:rsidR="00F50865" w:rsidRPr="00CA1C02" w:rsidRDefault="00F50865" w:rsidP="00F50865">
      <w:pPr>
        <w:pStyle w:val="Textonotapie"/>
        <w:rPr>
          <w:rFonts w:ascii="Tahoma" w:hAnsi="Tahoma" w:cs="Tahoma"/>
          <w:i/>
        </w:rPr>
      </w:pPr>
      <w:r w:rsidRPr="00CA1C02">
        <w:rPr>
          <w:rStyle w:val="Refdenotaalpie"/>
          <w:rFonts w:ascii="Tahoma" w:hAnsi="Tahoma" w:cs="Tahoma"/>
          <w:i/>
        </w:rPr>
        <w:footnoteRef/>
      </w:r>
      <w:r w:rsidRPr="00CA1C02">
        <w:rPr>
          <w:rFonts w:ascii="Tahoma" w:hAnsi="Tahoma" w:cs="Tahoma"/>
          <w:i/>
        </w:rPr>
        <w:t xml:space="preserve"> Actualmente Sistema Electrónico de Contrataciones del Estado.</w:t>
      </w:r>
    </w:p>
  </w:footnote>
  <w:footnote w:id="7">
    <w:p w:rsidR="00F50865" w:rsidRPr="00CA1C02" w:rsidRDefault="00F50865" w:rsidP="00F50865">
      <w:pPr>
        <w:pStyle w:val="Sinespaciado"/>
        <w:jc w:val="both"/>
        <w:rPr>
          <w:rFonts w:ascii="Tahoma" w:hAnsi="Tahoma" w:cs="Tahoma"/>
          <w:sz w:val="20"/>
          <w:szCs w:val="20"/>
        </w:rPr>
      </w:pPr>
      <w:r w:rsidRPr="00CA1C02">
        <w:rPr>
          <w:rStyle w:val="Refdenotaalpie"/>
          <w:rFonts w:ascii="Tahoma" w:eastAsia="MS Mincho" w:hAnsi="Tahoma" w:cs="Tahoma"/>
          <w:sz w:val="20"/>
          <w:szCs w:val="20"/>
        </w:rPr>
        <w:footnoteRef/>
      </w:r>
      <w:r w:rsidRPr="00CA1C02">
        <w:rPr>
          <w:rFonts w:ascii="Tahoma" w:hAnsi="Tahoma" w:cs="Tahoma"/>
          <w:sz w:val="20"/>
          <w:szCs w:val="20"/>
        </w:rPr>
        <w:t xml:space="preserve"> </w:t>
      </w:r>
      <w:r w:rsidRPr="00CA1C02">
        <w:rPr>
          <w:rFonts w:ascii="Tahoma" w:hAnsi="Tahoma" w:cs="Tahoma"/>
          <w:b/>
          <w:bCs/>
          <w:sz w:val="20"/>
          <w:szCs w:val="20"/>
        </w:rPr>
        <w:t>Artículo 294.- Causales de aplicación de sanción a los proveedores, participantes, postores y contratistas</w:t>
      </w:r>
    </w:p>
    <w:p w:rsidR="00F50865" w:rsidRPr="00CA1C02" w:rsidRDefault="00F50865" w:rsidP="00F50865">
      <w:pPr>
        <w:pStyle w:val="Sinespaciado"/>
        <w:jc w:val="both"/>
        <w:rPr>
          <w:rFonts w:ascii="Tahoma" w:hAnsi="Tahoma" w:cs="Tahoma"/>
          <w:sz w:val="20"/>
          <w:szCs w:val="20"/>
        </w:rPr>
      </w:pPr>
      <w:r w:rsidRPr="00CA1C02">
        <w:rPr>
          <w:rFonts w:ascii="Tahoma" w:hAnsi="Tahoma" w:cs="Tahoma"/>
          <w:sz w:val="20"/>
          <w:szCs w:val="20"/>
        </w:rPr>
        <w:t>El Tribunal impondrá la sanción administrativa de inhabilitación temporal o definitiva a los proveedores, participantes, postores y/o contratistas que:</w:t>
      </w:r>
    </w:p>
    <w:p w:rsidR="00F50865" w:rsidRPr="00CA1C02" w:rsidRDefault="00F50865" w:rsidP="00F50865">
      <w:pPr>
        <w:pStyle w:val="Sinespaciado"/>
        <w:jc w:val="both"/>
        <w:rPr>
          <w:rFonts w:ascii="Tahoma" w:hAnsi="Tahoma" w:cs="Tahoma"/>
          <w:sz w:val="20"/>
          <w:szCs w:val="20"/>
        </w:rPr>
      </w:pPr>
      <w:r w:rsidRPr="00CA1C02">
        <w:rPr>
          <w:rFonts w:ascii="Tahoma" w:hAnsi="Tahoma" w:cs="Tahoma"/>
          <w:sz w:val="20"/>
          <w:szCs w:val="20"/>
        </w:rPr>
        <w:t>(…)</w:t>
      </w:r>
    </w:p>
    <w:p w:rsidR="00F50865" w:rsidRPr="00CA1C02" w:rsidRDefault="00F50865" w:rsidP="00F50865">
      <w:pPr>
        <w:pStyle w:val="Sinespaciado"/>
        <w:jc w:val="both"/>
        <w:rPr>
          <w:rFonts w:ascii="Tahoma" w:hAnsi="Tahoma" w:cs="Tahoma"/>
          <w:sz w:val="20"/>
          <w:szCs w:val="20"/>
        </w:rPr>
      </w:pPr>
      <w:r>
        <w:rPr>
          <w:rFonts w:ascii="Tahoma" w:hAnsi="Tahoma" w:cs="Tahoma"/>
          <w:sz w:val="20"/>
          <w:szCs w:val="20"/>
        </w:rPr>
        <w:t>9</w:t>
      </w:r>
      <w:r w:rsidRPr="00CA1C02">
        <w:rPr>
          <w:rFonts w:ascii="Tahoma" w:hAnsi="Tahoma" w:cs="Tahoma"/>
          <w:sz w:val="20"/>
          <w:szCs w:val="20"/>
        </w:rPr>
        <w:t xml:space="preserve">) </w:t>
      </w:r>
      <w:r>
        <w:rPr>
          <w:rFonts w:ascii="Tahoma" w:hAnsi="Tahoma" w:cs="Tahoma"/>
          <w:sz w:val="20"/>
          <w:szCs w:val="20"/>
        </w:rPr>
        <w:t>Presenten documentos falsos o inexactos a las Entidades o al CONSUCODE</w:t>
      </w:r>
      <w:r w:rsidRPr="00CA1C02">
        <w:rPr>
          <w:rFonts w:ascii="Tahoma" w:hAnsi="Tahoma" w:cs="Tahoma"/>
          <w:sz w:val="20"/>
          <w:szCs w:val="20"/>
        </w:rPr>
        <w:t>.</w:t>
      </w:r>
    </w:p>
  </w:footnote>
  <w:footnote w:id="8">
    <w:p w:rsidR="00F50865" w:rsidRPr="00606EA1" w:rsidRDefault="00F50865" w:rsidP="00F50865">
      <w:pPr>
        <w:pStyle w:val="Textonotapie"/>
        <w:jc w:val="both"/>
        <w:rPr>
          <w:rFonts w:ascii="Tahoma" w:hAnsi="Tahoma" w:cs="Tahoma"/>
          <w:sz w:val="16"/>
          <w:szCs w:val="16"/>
        </w:rPr>
      </w:pPr>
      <w:r w:rsidRPr="00606EA1">
        <w:rPr>
          <w:rStyle w:val="Refdenotaalpie"/>
          <w:rFonts w:ascii="Tahoma" w:hAnsi="Tahoma" w:cs="Tahoma"/>
          <w:sz w:val="16"/>
          <w:szCs w:val="16"/>
        </w:rPr>
        <w:footnoteRef/>
      </w:r>
      <w:r w:rsidRPr="00606EA1">
        <w:rPr>
          <w:rFonts w:ascii="Tahoma" w:hAnsi="Tahoma" w:cs="Tahoma"/>
          <w:sz w:val="16"/>
          <w:szCs w:val="16"/>
        </w:rPr>
        <w:t xml:space="preserve"> </w:t>
      </w:r>
      <w:r w:rsidRPr="00606EA1">
        <w:rPr>
          <w:rFonts w:ascii="Tahoma" w:hAnsi="Tahoma" w:cs="Tahoma"/>
          <w:b/>
          <w:sz w:val="16"/>
          <w:szCs w:val="16"/>
        </w:rPr>
        <w:t>Artículo 294.- Causales de aplicación de sanción a los proveedores, participantes, postores y contratistas.-</w:t>
      </w:r>
      <w:r w:rsidRPr="00606EA1">
        <w:rPr>
          <w:rFonts w:ascii="Tahoma" w:hAnsi="Tahoma" w:cs="Tahoma"/>
          <w:sz w:val="16"/>
          <w:szCs w:val="16"/>
        </w:rPr>
        <w:t xml:space="preserve"> El Tribunal impondrá la sanción administrativa de inhabilitación temporal o definitiva a los proveedores, postores y/o contratistas que:</w:t>
      </w:r>
    </w:p>
    <w:p w:rsidR="00F50865" w:rsidRPr="00606EA1" w:rsidRDefault="00F50865" w:rsidP="00F50865">
      <w:pPr>
        <w:pStyle w:val="Textonotapie"/>
        <w:jc w:val="both"/>
        <w:rPr>
          <w:rFonts w:ascii="Tahoma" w:hAnsi="Tahoma" w:cs="Tahoma"/>
          <w:sz w:val="16"/>
          <w:szCs w:val="16"/>
        </w:rPr>
      </w:pPr>
      <w:r w:rsidRPr="00606EA1">
        <w:rPr>
          <w:rFonts w:ascii="Tahoma" w:hAnsi="Tahoma" w:cs="Tahoma"/>
          <w:sz w:val="16"/>
          <w:szCs w:val="16"/>
        </w:rPr>
        <w:t>[…]</w:t>
      </w:r>
    </w:p>
    <w:p w:rsidR="00F50865" w:rsidRPr="00606EA1" w:rsidRDefault="00F50865" w:rsidP="00F50865">
      <w:pPr>
        <w:pStyle w:val="Textonotapie"/>
        <w:jc w:val="both"/>
        <w:rPr>
          <w:rFonts w:ascii="Tahoma" w:hAnsi="Tahoma" w:cs="Tahoma"/>
          <w:sz w:val="16"/>
          <w:szCs w:val="16"/>
        </w:rPr>
      </w:pPr>
      <w:r w:rsidRPr="00606EA1">
        <w:rPr>
          <w:rFonts w:ascii="Tahoma" w:hAnsi="Tahoma" w:cs="Tahoma"/>
          <w:sz w:val="16"/>
          <w:szCs w:val="16"/>
        </w:rPr>
        <w:t>9) Presenten documentos falsos o inexactos a las Entidades o al CONSUCODE.</w:t>
      </w:r>
    </w:p>
  </w:footnote>
  <w:footnote w:id="9">
    <w:p w:rsidR="00F50865" w:rsidRPr="00606EA1" w:rsidRDefault="00F50865" w:rsidP="00F50865">
      <w:pPr>
        <w:pStyle w:val="Textonotapie"/>
        <w:jc w:val="both"/>
        <w:rPr>
          <w:rFonts w:ascii="Tahoma" w:hAnsi="Tahoma" w:cs="Tahoma"/>
          <w:sz w:val="16"/>
          <w:szCs w:val="16"/>
        </w:rPr>
      </w:pPr>
      <w:r w:rsidRPr="00606EA1">
        <w:rPr>
          <w:rStyle w:val="Refdenotaalpie"/>
          <w:rFonts w:ascii="Tahoma" w:hAnsi="Tahoma" w:cs="Tahoma"/>
          <w:b/>
          <w:sz w:val="16"/>
          <w:szCs w:val="16"/>
        </w:rPr>
        <w:footnoteRef/>
      </w:r>
      <w:r w:rsidRPr="00606EA1">
        <w:rPr>
          <w:rFonts w:ascii="Tahoma" w:hAnsi="Tahoma" w:cs="Tahoma"/>
          <w:sz w:val="16"/>
          <w:szCs w:val="16"/>
        </w:rPr>
        <w:t xml:space="preserve"> </w:t>
      </w:r>
      <w:r w:rsidRPr="00606EA1">
        <w:rPr>
          <w:rFonts w:ascii="Tahoma" w:hAnsi="Tahoma" w:cs="Tahoma"/>
          <w:b/>
          <w:sz w:val="16"/>
          <w:szCs w:val="16"/>
        </w:rPr>
        <w:t>El Principio de Presunción de Veracidad</w:t>
      </w:r>
      <w:r w:rsidRPr="00606EA1">
        <w:rPr>
          <w:rFonts w:ascii="Tahoma" w:hAnsi="Tahoma" w:cs="Tahoma"/>
          <w:sz w:val="16"/>
          <w:szCs w:val="16"/>
        </w:rPr>
        <w:t xml:space="preserve"> consiste en </w:t>
      </w:r>
      <w:r w:rsidRPr="00606EA1">
        <w:rPr>
          <w:rFonts w:ascii="Tahoma" w:hAnsi="Tahoma" w:cs="Tahoma"/>
          <w:i/>
          <w:sz w:val="16"/>
          <w:szCs w:val="16"/>
        </w:rPr>
        <w:t>“el deber de suponer – por adelantado y con carácter provisorio – que los administrados proceden con verdad en sus actuaciones en el procedimiento que intervengan (rige tanto las relaciones de la Administración Pública con sus agentes como con el público). Sustituye la tradicional duda o escepticismo de la autoridad sobre los administrados”.</w:t>
      </w:r>
      <w:r w:rsidRPr="00606EA1">
        <w:rPr>
          <w:rFonts w:ascii="Tahoma" w:hAnsi="Tahoma" w:cs="Tahoma"/>
          <w:sz w:val="16"/>
          <w:szCs w:val="16"/>
        </w:rPr>
        <w:t xml:space="preserve"> MORÓN URBINA, Juan Carlos. </w:t>
      </w:r>
      <w:r w:rsidRPr="00606EA1">
        <w:rPr>
          <w:rFonts w:ascii="Tahoma" w:hAnsi="Tahoma" w:cs="Tahoma"/>
          <w:b/>
          <w:sz w:val="16"/>
          <w:szCs w:val="16"/>
        </w:rPr>
        <w:t>Comentarios a la Ley del Procedimiento Administrativo General</w:t>
      </w:r>
      <w:r w:rsidRPr="00606EA1">
        <w:rPr>
          <w:rFonts w:ascii="Tahoma" w:hAnsi="Tahoma" w:cs="Tahoma"/>
          <w:sz w:val="16"/>
          <w:szCs w:val="16"/>
        </w:rPr>
        <w:t>. Cuarta Edición. Lima: Gac</w:t>
      </w:r>
      <w:r>
        <w:rPr>
          <w:rFonts w:ascii="Tahoma" w:hAnsi="Tahoma" w:cs="Tahoma"/>
          <w:sz w:val="16"/>
          <w:szCs w:val="16"/>
        </w:rPr>
        <w:t>eta Jurídica, 2005; pp. 74 -75.</w:t>
      </w:r>
    </w:p>
  </w:footnote>
  <w:footnote w:id="10">
    <w:p w:rsidR="00F50865" w:rsidRPr="00F05F87" w:rsidRDefault="00F50865" w:rsidP="00F50865">
      <w:pPr>
        <w:jc w:val="both"/>
        <w:rPr>
          <w:rFonts w:ascii="Tahoma" w:hAnsi="Tahoma" w:cs="Tahoma"/>
          <w:sz w:val="18"/>
          <w:szCs w:val="18"/>
        </w:rPr>
      </w:pPr>
      <w:r w:rsidRPr="006C7FFD">
        <w:rPr>
          <w:rStyle w:val="Refdenotaalpie"/>
          <w:rFonts w:ascii="Tahoma" w:hAnsi="Tahoma" w:cs="Tahoma"/>
        </w:rPr>
        <w:footnoteRef/>
      </w:r>
      <w:r w:rsidRPr="006C7FFD">
        <w:rPr>
          <w:rFonts w:ascii="Tahoma" w:hAnsi="Tahoma" w:cs="Tahoma"/>
        </w:rPr>
        <w:t xml:space="preserve"> </w:t>
      </w:r>
      <w:r w:rsidRPr="00F05F87">
        <w:rPr>
          <w:rFonts w:ascii="Tahoma" w:hAnsi="Tahoma" w:cs="Tahoma"/>
          <w:sz w:val="18"/>
          <w:szCs w:val="18"/>
        </w:rPr>
        <w:t xml:space="preserve">Al respecto, en el numeral 8 de </w:t>
      </w:r>
      <w:smartTag w:uri="urn:schemas-microsoft-com:office:smarttags" w:element="PersonName">
        <w:smartTagPr>
          <w:attr w:name="ProductID" w:val="la Fundamentación"/>
        </w:smartTagPr>
        <w:r w:rsidRPr="00F05F87">
          <w:rPr>
            <w:rFonts w:ascii="Tahoma" w:hAnsi="Tahoma" w:cs="Tahoma"/>
            <w:sz w:val="18"/>
            <w:szCs w:val="18"/>
          </w:rPr>
          <w:t>la Fundamentación</w:t>
        </w:r>
      </w:smartTag>
      <w:r w:rsidRPr="00F05F87">
        <w:rPr>
          <w:rFonts w:ascii="Tahoma" w:hAnsi="Tahoma" w:cs="Tahoma"/>
          <w:sz w:val="18"/>
          <w:szCs w:val="18"/>
        </w:rPr>
        <w:t xml:space="preserve"> de </w:t>
      </w:r>
      <w:smartTag w:uri="urn:schemas-microsoft-com:office:smarttags" w:element="PersonName">
        <w:smartTagPr>
          <w:attr w:name="ProductID" w:val="la Resolución"/>
        </w:smartTagPr>
        <w:r w:rsidRPr="00F05F87">
          <w:rPr>
            <w:rFonts w:ascii="Tahoma" w:hAnsi="Tahoma" w:cs="Tahoma"/>
            <w:sz w:val="18"/>
            <w:szCs w:val="18"/>
          </w:rPr>
          <w:t>la Resolución</w:t>
        </w:r>
      </w:smartTag>
      <w:r w:rsidRPr="00F05F87">
        <w:rPr>
          <w:rFonts w:ascii="Tahoma" w:hAnsi="Tahoma" w:cs="Tahoma"/>
          <w:sz w:val="18"/>
          <w:szCs w:val="18"/>
        </w:rPr>
        <w:t xml:space="preserve"> № 938/2006.TC-SU del 8 de noviembre de 2006, expresamente se estableció lo siguiente: «Asimismo, de acuerdo al principio antes citado [en alusión al principio de presunción de veracidad], el Postor se encontraba en la obligación, de manera previa a la presentación de su propuesta técnica, de verificar que toda la documentación e información a presentar se ajustara a la realidad, razón por la cual resulta infundado el argumento planteado en su defensa respecto a que había sido un ex-trabajador suyo el encargado de armar la propuesta y que el representante legal no había podido percatarse de la existencia de la documentación falsa». </w:t>
      </w:r>
    </w:p>
    <w:p w:rsidR="00F50865" w:rsidRPr="00F05F87" w:rsidRDefault="00F50865" w:rsidP="00F50865">
      <w:pPr>
        <w:jc w:val="both"/>
        <w:rPr>
          <w:rFonts w:ascii="Tahoma" w:hAnsi="Tahoma" w:cs="Tahoma"/>
          <w:sz w:val="18"/>
          <w:szCs w:val="18"/>
        </w:rPr>
      </w:pPr>
      <w:r w:rsidRPr="00F05F87">
        <w:rPr>
          <w:rFonts w:ascii="Tahoma" w:hAnsi="Tahoma" w:cs="Tahoma"/>
          <w:sz w:val="18"/>
          <w:szCs w:val="18"/>
        </w:rPr>
        <w:t xml:space="preserve">A su turno, los numerales 11 y 12 de </w:t>
      </w:r>
      <w:smartTag w:uri="urn:schemas-microsoft-com:office:smarttags" w:element="PersonName">
        <w:smartTagPr>
          <w:attr w:name="ProductID" w:val="la Fundamentación"/>
        </w:smartTagPr>
        <w:r w:rsidRPr="00F05F87">
          <w:rPr>
            <w:rFonts w:ascii="Tahoma" w:hAnsi="Tahoma" w:cs="Tahoma"/>
            <w:sz w:val="18"/>
            <w:szCs w:val="18"/>
          </w:rPr>
          <w:t>la Fundamentación</w:t>
        </w:r>
      </w:smartTag>
      <w:r w:rsidRPr="00F05F87">
        <w:rPr>
          <w:rFonts w:ascii="Tahoma" w:hAnsi="Tahoma" w:cs="Tahoma"/>
          <w:sz w:val="18"/>
          <w:szCs w:val="18"/>
        </w:rPr>
        <w:t xml:space="preserve"> de </w:t>
      </w:r>
      <w:smartTag w:uri="urn:schemas-microsoft-com:office:smarttags" w:element="PersonName">
        <w:smartTagPr>
          <w:attr w:name="ProductID" w:val="la Resolución"/>
        </w:smartTagPr>
        <w:r w:rsidRPr="00F05F87">
          <w:rPr>
            <w:rFonts w:ascii="Tahoma" w:hAnsi="Tahoma" w:cs="Tahoma"/>
            <w:sz w:val="18"/>
            <w:szCs w:val="18"/>
          </w:rPr>
          <w:t>la Resolución</w:t>
        </w:r>
      </w:smartTag>
      <w:r w:rsidRPr="00F05F87">
        <w:rPr>
          <w:rFonts w:ascii="Tahoma" w:hAnsi="Tahoma" w:cs="Tahoma"/>
          <w:sz w:val="18"/>
          <w:szCs w:val="18"/>
        </w:rPr>
        <w:t xml:space="preserve"> № 293/2007.TC-SU de fecha 23 de marzo de 2007 consignan lo siguiente: «En esa misma línea, y en atención al artículo 76 del Reglamento, el Postor declaró bajo juramento que se hacía responsable de la veracidad de todos los documentos e información que presentara para efectos del proceso de selección, razón por la cual resulta infundado el argumento planteado en su defensa en el sentido de que había sido su secretaria la que, de manera inconsulta, había procedido a adulterar el documento […]. Por lo demás, el argumento de defensa del Postor queda desvirtuado desde que el artículo 1981 del Código Civil (norma aplicable al presente caso en atención al </w:t>
      </w:r>
      <w:r w:rsidRPr="00F05F87">
        <w:rPr>
          <w:rFonts w:ascii="Tahoma" w:hAnsi="Tahoma" w:cs="Tahoma"/>
          <w:sz w:val="18"/>
          <w:szCs w:val="18"/>
          <w:lang w:val="es-ES_tradnl"/>
        </w:rPr>
        <w:t>Artículo IX de su Título Prelimina</w:t>
      </w:r>
      <w:r w:rsidRPr="00F05F87">
        <w:rPr>
          <w:rStyle w:val="Refdenotaalpie"/>
          <w:rFonts w:ascii="Tahoma" w:hAnsi="Tahoma" w:cs="Tahoma"/>
          <w:sz w:val="18"/>
          <w:szCs w:val="18"/>
        </w:rPr>
        <w:t>r</w:t>
      </w:r>
      <w:r w:rsidRPr="00F05F87">
        <w:rPr>
          <w:rFonts w:ascii="Tahoma" w:hAnsi="Tahoma" w:cs="Tahoma"/>
          <w:sz w:val="18"/>
          <w:szCs w:val="18"/>
          <w:lang w:val="es-ES_tradnl"/>
        </w:rPr>
        <w:t>)</w:t>
      </w:r>
      <w:r w:rsidRPr="00F05F87">
        <w:rPr>
          <w:rFonts w:ascii="Tahoma" w:hAnsi="Tahoma" w:cs="Tahoma"/>
          <w:sz w:val="18"/>
          <w:szCs w:val="18"/>
        </w:rPr>
        <w:t xml:space="preserve"> establece que aquél que tenga a otro bajo sus órdenes responde por el daño causado por éste último, si ese daño se realizó en el ejercicio del cargo o en cumplimiento del servicio respectivo».</w:t>
      </w:r>
    </w:p>
  </w:footnote>
  <w:footnote w:id="11">
    <w:p w:rsidR="00F50865" w:rsidRPr="00F05F87" w:rsidRDefault="00F50865" w:rsidP="00F50865">
      <w:pPr>
        <w:pStyle w:val="Textonotapie"/>
        <w:jc w:val="both"/>
        <w:rPr>
          <w:rFonts w:ascii="Tahoma" w:hAnsi="Tahoma" w:cs="Tahoma"/>
          <w:b/>
          <w:sz w:val="18"/>
          <w:szCs w:val="18"/>
        </w:rPr>
      </w:pPr>
      <w:r w:rsidRPr="00F05F87">
        <w:rPr>
          <w:rStyle w:val="Refdenotaalpie"/>
          <w:rFonts w:ascii="Tahoma" w:hAnsi="Tahoma" w:cs="Tahoma"/>
          <w:sz w:val="18"/>
          <w:szCs w:val="18"/>
        </w:rPr>
        <w:footnoteRef/>
      </w:r>
      <w:r w:rsidRPr="00F05F87">
        <w:rPr>
          <w:rFonts w:ascii="Tahoma" w:hAnsi="Tahoma" w:cs="Tahoma"/>
          <w:sz w:val="18"/>
          <w:szCs w:val="18"/>
        </w:rPr>
        <w:t xml:space="preserve"> </w:t>
      </w:r>
      <w:r w:rsidRPr="00F05F87">
        <w:rPr>
          <w:rFonts w:ascii="Tahoma" w:hAnsi="Tahoma" w:cs="Tahoma"/>
          <w:b/>
          <w:sz w:val="18"/>
          <w:szCs w:val="18"/>
        </w:rPr>
        <w:t>Artículo 1981.- Responsabilidad por daño del subordinado.</w:t>
      </w:r>
    </w:p>
    <w:p w:rsidR="00F50865" w:rsidRPr="00F05F87" w:rsidRDefault="00F50865" w:rsidP="00F50865">
      <w:pPr>
        <w:pStyle w:val="Textonotapie"/>
        <w:jc w:val="both"/>
        <w:rPr>
          <w:rFonts w:ascii="Tahoma" w:hAnsi="Tahoma" w:cs="Tahoma"/>
          <w:sz w:val="18"/>
          <w:szCs w:val="18"/>
        </w:rPr>
      </w:pPr>
      <w:r w:rsidRPr="00F05F87">
        <w:rPr>
          <w:rFonts w:ascii="Tahoma" w:hAnsi="Tahoma" w:cs="Tahoma"/>
          <w:sz w:val="18"/>
          <w:szCs w:val="18"/>
        </w:rPr>
        <w:t>Aquel que tenga a otro bajo sus órdenes responde por el daño causado por éste último, si ese daño se realizó en el ejercicio del cargo o en cumplimiento del servicio respectivo. El autor directo y el autor indirecto están sujetos a responsabilidad solidaria.</w:t>
      </w:r>
    </w:p>
  </w:footnote>
  <w:footnote w:id="12">
    <w:p w:rsidR="00F50865" w:rsidRPr="00CC07BA" w:rsidRDefault="00F50865" w:rsidP="00F50865">
      <w:pPr>
        <w:pStyle w:val="Encabezado"/>
        <w:tabs>
          <w:tab w:val="left" w:pos="0"/>
        </w:tabs>
        <w:jc w:val="both"/>
        <w:rPr>
          <w:rFonts w:ascii="Tahoma" w:hAnsi="Tahoma" w:cs="Tahoma"/>
          <w:b/>
          <w:sz w:val="18"/>
          <w:szCs w:val="18"/>
        </w:rPr>
      </w:pPr>
      <w:r w:rsidRPr="00CC07BA">
        <w:rPr>
          <w:rStyle w:val="Refdenotaalpie"/>
          <w:rFonts w:ascii="Tahoma" w:hAnsi="Tahoma" w:cs="Tahoma"/>
          <w:sz w:val="18"/>
          <w:szCs w:val="18"/>
        </w:rPr>
        <w:footnoteRef/>
      </w:r>
      <w:r w:rsidRPr="00CC07BA">
        <w:rPr>
          <w:rFonts w:ascii="Tahoma" w:hAnsi="Tahoma" w:cs="Tahoma"/>
          <w:sz w:val="18"/>
          <w:szCs w:val="18"/>
        </w:rPr>
        <w:t xml:space="preserve"> </w:t>
      </w:r>
      <w:r w:rsidRPr="00CC07BA">
        <w:rPr>
          <w:rFonts w:ascii="Tahoma" w:hAnsi="Tahoma" w:cs="Tahoma"/>
          <w:b/>
          <w:sz w:val="18"/>
          <w:szCs w:val="18"/>
        </w:rPr>
        <w:t>Articulo 427.- Falsificación de documentos</w:t>
      </w:r>
    </w:p>
    <w:p w:rsidR="00F50865" w:rsidRPr="00CC07BA" w:rsidRDefault="00F50865" w:rsidP="00F50865">
      <w:pPr>
        <w:pStyle w:val="Encabezado"/>
        <w:tabs>
          <w:tab w:val="left" w:pos="0"/>
        </w:tabs>
        <w:jc w:val="both"/>
        <w:rPr>
          <w:rFonts w:ascii="Tahoma" w:hAnsi="Tahoma" w:cs="Tahoma"/>
          <w:sz w:val="18"/>
          <w:szCs w:val="18"/>
        </w:rPr>
      </w:pPr>
      <w:r w:rsidRPr="00CC07BA">
        <w:rPr>
          <w:rFonts w:ascii="Tahoma" w:hAnsi="Tahoma" w:cs="Tahoma"/>
          <w:sz w:val="18"/>
          <w:szCs w:val="18"/>
        </w:rPr>
        <w:t>“El que hace, en todo o en parte, un documento falso o altera uno verdadero que pueda dar origen a derecho u obligación o servir para probar un hecho, con el propósito de utilizar el documento, será reprimido, si de uso puede resultar algún perjuicio, con pena privativa de libertad no menor de dos ni mayor a diez años y con treinta a noventa días-multa si se trata de un documento público, registro público, título auténtico o cualquier otro transmisible por endoso o al portador o con pena privativa de libertad no menor de dos ni mayor a cuatro años, y con ciento ochenta a trescientos sesenticinco días multa, si se trata de un documento privado”.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84B" w:rsidRDefault="0067484B" w:rsidP="0067484B">
    <w:pPr>
      <w:pStyle w:val="Encabezado"/>
      <w:jc w:val="center"/>
      <w:rPr>
        <w:rFonts w:ascii="Monotype Corsiva" w:hAnsi="Monotype Corsiva"/>
        <w:b/>
        <w:sz w:val="44"/>
        <w:szCs w:val="44"/>
      </w:rPr>
    </w:pPr>
    <w:r>
      <w:rPr>
        <w:noProof/>
        <w:lang w:eastAsia="es-ES"/>
      </w:rPr>
      <w:drawing>
        <wp:anchor distT="0" distB="0" distL="114300" distR="114300" simplePos="0" relativeHeight="251660288" behindDoc="0" locked="0" layoutInCell="1" allowOverlap="1">
          <wp:simplePos x="0" y="0"/>
          <wp:positionH relativeFrom="column">
            <wp:posOffset>-593725</wp:posOffset>
          </wp:positionH>
          <wp:positionV relativeFrom="paragraph">
            <wp:posOffset>-59690</wp:posOffset>
          </wp:positionV>
          <wp:extent cx="6515100" cy="58102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5100" cy="581025"/>
                  </a:xfrm>
                  <a:prstGeom prst="rect">
                    <a:avLst/>
                  </a:prstGeom>
                  <a:noFill/>
                  <a:ln w="9525">
                    <a:noFill/>
                    <a:miter lim="800000"/>
                    <a:headEnd/>
                    <a:tailEnd/>
                  </a:ln>
                </pic:spPr>
              </pic:pic>
            </a:graphicData>
          </a:graphic>
        </wp:anchor>
      </w:drawing>
    </w:r>
  </w:p>
  <w:p w:rsidR="0067484B" w:rsidRDefault="0067484B" w:rsidP="0067484B">
    <w:pPr>
      <w:pStyle w:val="Encabezado"/>
      <w:jc w:val="center"/>
      <w:rPr>
        <w:rFonts w:ascii="Monotype Corsiva" w:hAnsi="Monotype Corsiva"/>
        <w:b/>
        <w:sz w:val="44"/>
        <w:szCs w:val="44"/>
      </w:rPr>
    </w:pPr>
  </w:p>
  <w:p w:rsidR="0067484B" w:rsidRDefault="0067484B" w:rsidP="0067484B">
    <w:pPr>
      <w:pStyle w:val="Encabezado"/>
      <w:jc w:val="center"/>
      <w:rPr>
        <w:rFonts w:ascii="Monotype Corsiva" w:hAnsi="Monotype Corsiva"/>
        <w:b/>
        <w:sz w:val="44"/>
        <w:szCs w:val="44"/>
      </w:rPr>
    </w:pPr>
  </w:p>
  <w:p w:rsidR="0067484B" w:rsidRDefault="0067484B" w:rsidP="0067484B">
    <w:pPr>
      <w:pStyle w:val="Encabezado"/>
      <w:jc w:val="center"/>
      <w:rPr>
        <w:rFonts w:ascii="Tahoma" w:hAnsi="Tahoma" w:cs="Tahoma"/>
        <w:b/>
        <w:sz w:val="44"/>
        <w:szCs w:val="44"/>
      </w:rPr>
    </w:pPr>
    <w:r>
      <w:rPr>
        <w:rFonts w:ascii="Monotype Corsiva" w:hAnsi="Monotype Corsiva"/>
        <w:b/>
        <w:sz w:val="44"/>
        <w:szCs w:val="44"/>
      </w:rPr>
      <w:t xml:space="preserve">Resolución Nº    </w:t>
    </w:r>
    <w:r>
      <w:rPr>
        <w:rFonts w:ascii="Tahoma" w:hAnsi="Tahoma" w:cs="Tahoma"/>
        <w:b/>
        <w:sz w:val="44"/>
        <w:szCs w:val="44"/>
      </w:rPr>
      <w:t>215-2011-TC-S4</w:t>
    </w:r>
  </w:p>
  <w:p w:rsidR="0067484B" w:rsidRDefault="0067484B">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ED2E86"/>
    <w:multiLevelType w:val="hybridMultilevel"/>
    <w:tmpl w:val="2BEE8E56"/>
    <w:lvl w:ilvl="0" w:tplc="E7040786">
      <w:start w:val="1"/>
      <w:numFmt w:val="decimal"/>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33017BB6"/>
    <w:multiLevelType w:val="hybridMultilevel"/>
    <w:tmpl w:val="001EF92A"/>
    <w:lvl w:ilvl="0" w:tplc="4E661450">
      <w:start w:val="1"/>
      <w:numFmt w:val="lowerLetter"/>
      <w:lvlText w:val="%1)"/>
      <w:lvlJc w:val="lef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
    <w:nsid w:val="360A4D28"/>
    <w:multiLevelType w:val="hybridMultilevel"/>
    <w:tmpl w:val="6E96D29A"/>
    <w:lvl w:ilvl="0" w:tplc="01A8C8FE">
      <w:start w:val="1"/>
      <w:numFmt w:val="lowerLetter"/>
      <w:lvlText w:val="%1."/>
      <w:lvlJc w:val="left"/>
      <w:pPr>
        <w:ind w:left="927" w:hanging="360"/>
      </w:pPr>
      <w:rPr>
        <w:rFonts w:hint="default"/>
        <w:b/>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
    <w:nsid w:val="3DAD581D"/>
    <w:multiLevelType w:val="hybridMultilevel"/>
    <w:tmpl w:val="76AE7416"/>
    <w:lvl w:ilvl="0" w:tplc="E1146010">
      <w:start w:val="1"/>
      <w:numFmt w:val="lowerLetter"/>
      <w:lvlText w:val="%1."/>
      <w:lvlJc w:val="left"/>
      <w:pPr>
        <w:ind w:left="927" w:hanging="360"/>
      </w:pPr>
      <w:rPr>
        <w:rFonts w:hint="default"/>
        <w:b/>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4">
    <w:nsid w:val="490628FE"/>
    <w:multiLevelType w:val="hybridMultilevel"/>
    <w:tmpl w:val="CD0E1EB4"/>
    <w:lvl w:ilvl="0" w:tplc="64A8F356">
      <w:start w:val="1"/>
      <w:numFmt w:val="decimal"/>
      <w:lvlText w:val="%1."/>
      <w:lvlJc w:val="left"/>
      <w:pPr>
        <w:tabs>
          <w:tab w:val="num" w:pos="720"/>
        </w:tabs>
        <w:ind w:left="720" w:hanging="360"/>
      </w:pPr>
      <w:rPr>
        <w:b/>
        <w:sz w:val="22"/>
        <w:szCs w:val="22"/>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5">
    <w:nsid w:val="5E1931F5"/>
    <w:multiLevelType w:val="hybridMultilevel"/>
    <w:tmpl w:val="32D2F750"/>
    <w:lvl w:ilvl="0" w:tplc="3FAAD90C">
      <w:start w:val="1"/>
      <w:numFmt w:val="decimal"/>
      <w:lvlText w:val="%1."/>
      <w:lvlJc w:val="left"/>
      <w:pPr>
        <w:tabs>
          <w:tab w:val="num" w:pos="360"/>
        </w:tabs>
        <w:ind w:left="360" w:hanging="360"/>
      </w:pPr>
      <w:rPr>
        <w:rFonts w:ascii="Tahoma" w:hAnsi="Tahoma" w:cs="Tahoma" w:hint="default"/>
        <w:b/>
        <w:sz w:val="24"/>
        <w:szCs w:val="24"/>
      </w:rPr>
    </w:lvl>
    <w:lvl w:ilvl="1" w:tplc="23EEA8BE">
      <w:start w:val="12"/>
      <w:numFmt w:val="decimal"/>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69467542"/>
    <w:multiLevelType w:val="hybridMultilevel"/>
    <w:tmpl w:val="D5CEBB4A"/>
    <w:lvl w:ilvl="0" w:tplc="0C0A0015">
      <w:start w:val="1"/>
      <w:numFmt w:val="upperLetter"/>
      <w:lvlText w:val="%1."/>
      <w:lvlJc w:val="left"/>
      <w:pPr>
        <w:tabs>
          <w:tab w:val="num" w:pos="720"/>
        </w:tabs>
        <w:ind w:left="720" w:hanging="360"/>
      </w:pPr>
      <w:rPr>
        <w:rFonts w:hint="default"/>
      </w:rPr>
    </w:lvl>
    <w:lvl w:ilvl="1" w:tplc="A4D62FC4">
      <w:start w:val="1"/>
      <w:numFmt w:val="lowerRoman"/>
      <w:lvlText w:val="(%2)"/>
      <w:lvlJc w:val="left"/>
      <w:pPr>
        <w:tabs>
          <w:tab w:val="num" w:pos="1800"/>
        </w:tabs>
        <w:ind w:left="1800" w:hanging="720"/>
      </w:pPr>
      <w:rPr>
        <w:rFonts w:hint="default"/>
        <w:b/>
        <w:sz w:val="20"/>
        <w:szCs w:val="2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742A4401"/>
    <w:multiLevelType w:val="hybridMultilevel"/>
    <w:tmpl w:val="95CAD002"/>
    <w:lvl w:ilvl="0" w:tplc="92DA61BA">
      <w:start w:val="1"/>
      <w:numFmt w:val="decimal"/>
      <w:lvlText w:val="%1."/>
      <w:lvlJc w:val="left"/>
      <w:pPr>
        <w:ind w:left="1287" w:hanging="360"/>
      </w:pPr>
      <w:rPr>
        <w:rFonts w:ascii="Tahoma" w:hAnsi="Tahoma" w:cs="Tahoma" w:hint="default"/>
        <w:b/>
        <w:sz w:val="24"/>
        <w:szCs w:val="24"/>
      </w:rPr>
    </w:lvl>
    <w:lvl w:ilvl="1" w:tplc="D83632D6">
      <w:start w:val="1"/>
      <w:numFmt w:val="lowerLetter"/>
      <w:lvlText w:val="%2)"/>
      <w:lvlJc w:val="left"/>
      <w:pPr>
        <w:tabs>
          <w:tab w:val="num" w:pos="2007"/>
        </w:tabs>
        <w:ind w:left="2007" w:hanging="360"/>
      </w:pPr>
      <w:rPr>
        <w:rFonts w:hint="default"/>
        <w:lang w:val="es-ES"/>
      </w:r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num w:numId="1">
    <w:abstractNumId w:val="4"/>
  </w:num>
  <w:num w:numId="2">
    <w:abstractNumId w:val="7"/>
  </w:num>
  <w:num w:numId="3">
    <w:abstractNumId w:val="1"/>
  </w:num>
  <w:num w:numId="4">
    <w:abstractNumId w:val="5"/>
  </w:num>
  <w:num w:numId="5">
    <w:abstractNumId w:val="0"/>
  </w:num>
  <w:num w:numId="6">
    <w:abstractNumId w:val="3"/>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EB1CAB"/>
    <w:rsid w:val="000048A2"/>
    <w:rsid w:val="000D4FFD"/>
    <w:rsid w:val="000F4ACA"/>
    <w:rsid w:val="00120ADA"/>
    <w:rsid w:val="005C18DB"/>
    <w:rsid w:val="0067484B"/>
    <w:rsid w:val="00936BE3"/>
    <w:rsid w:val="00AE15D8"/>
    <w:rsid w:val="00C00952"/>
    <w:rsid w:val="00CE1164"/>
    <w:rsid w:val="00D266F6"/>
    <w:rsid w:val="00D702CB"/>
    <w:rsid w:val="00EB1CAB"/>
    <w:rsid w:val="00F05F87"/>
    <w:rsid w:val="00F50865"/>
    <w:rsid w:val="00F53CDD"/>
    <w:rsid w:val="00F960C0"/>
    <w:rsid w:val="00FF5CE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heme="minorHAnsi" w:hAnsi="Tahoma" w:cs="Tahoma"/>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CA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qFormat/>
    <w:rsid w:val="00EB1CAB"/>
    <w:pPr>
      <w:ind w:left="708"/>
    </w:pPr>
  </w:style>
  <w:style w:type="paragraph" w:styleId="Piedepgina">
    <w:name w:val="footer"/>
    <w:basedOn w:val="Normal"/>
    <w:link w:val="PiedepginaCar"/>
    <w:uiPriority w:val="99"/>
    <w:rsid w:val="00EB1CAB"/>
    <w:pPr>
      <w:tabs>
        <w:tab w:val="center" w:pos="4252"/>
        <w:tab w:val="right" w:pos="8504"/>
      </w:tabs>
    </w:pPr>
  </w:style>
  <w:style w:type="character" w:customStyle="1" w:styleId="PiedepginaCar">
    <w:name w:val="Pie de página Car"/>
    <w:basedOn w:val="Fuentedeprrafopredeter"/>
    <w:link w:val="Piedepgina"/>
    <w:uiPriority w:val="99"/>
    <w:rsid w:val="00EB1CAB"/>
    <w:rPr>
      <w:rFonts w:ascii="Times New Roman" w:eastAsia="Times New Roman" w:hAnsi="Times New Roman" w:cs="Times New Roman"/>
      <w:sz w:val="24"/>
      <w:szCs w:val="24"/>
      <w:lang w:eastAsia="es-ES"/>
    </w:rPr>
  </w:style>
  <w:style w:type="paragraph" w:customStyle="1" w:styleId="Textoindependiente21">
    <w:name w:val="Texto independiente 21"/>
    <w:basedOn w:val="Normal"/>
    <w:rsid w:val="00EB1CAB"/>
    <w:pPr>
      <w:jc w:val="both"/>
    </w:pPr>
    <w:rPr>
      <w:rFonts w:ascii="Tahoma" w:hAnsi="Tahoma"/>
      <w:sz w:val="22"/>
      <w:szCs w:val="20"/>
    </w:rPr>
  </w:style>
  <w:style w:type="paragraph" w:styleId="Textoindependiente3">
    <w:name w:val="Body Text 3"/>
    <w:basedOn w:val="Normal"/>
    <w:link w:val="Textoindependiente3Car"/>
    <w:rsid w:val="00EB1CAB"/>
    <w:pPr>
      <w:jc w:val="center"/>
    </w:pPr>
    <w:rPr>
      <w:rFonts w:ascii="Arial" w:eastAsia="Batang" w:hAnsi="Arial"/>
      <w:b/>
      <w:sz w:val="44"/>
      <w:szCs w:val="20"/>
      <w:lang w:val="es-PE"/>
    </w:rPr>
  </w:style>
  <w:style w:type="character" w:customStyle="1" w:styleId="Textoindependiente3Car">
    <w:name w:val="Texto independiente 3 Car"/>
    <w:basedOn w:val="Fuentedeprrafopredeter"/>
    <w:link w:val="Textoindependiente3"/>
    <w:rsid w:val="00EB1CAB"/>
    <w:rPr>
      <w:rFonts w:ascii="Arial" w:eastAsia="Batang" w:hAnsi="Arial" w:cs="Times New Roman"/>
      <w:b/>
      <w:sz w:val="44"/>
      <w:szCs w:val="20"/>
      <w:lang w:val="es-PE" w:eastAsia="es-ES"/>
    </w:rPr>
  </w:style>
  <w:style w:type="paragraph" w:styleId="Textonotapie">
    <w:name w:val="footnote text"/>
    <w:aliases w:val="Car, Car2 Car Car Car Car Car, Car2 Car, Car2, Car1 Car, Car, Car4,Car Car Car,Texto nota pie1,Body Text,Car4,Car1 Car"/>
    <w:basedOn w:val="Normal"/>
    <w:link w:val="TextonotapieCar"/>
    <w:rsid w:val="00EB1CAB"/>
    <w:rPr>
      <w:sz w:val="20"/>
      <w:szCs w:val="20"/>
    </w:rPr>
  </w:style>
  <w:style w:type="character" w:customStyle="1" w:styleId="TextonotapieCar">
    <w:name w:val="Texto nota pie Car"/>
    <w:aliases w:val="Car Car, Car2 Car Car Car Car Car Car, Car2 Car Car, Car2 Car1, Car1 Car Car, Car Car, Car4 Car,Car Car Car Car,Texto nota pie1 Car,Body Text Car,Car4 Car,Car1 Car Car"/>
    <w:basedOn w:val="Fuentedeprrafopredeter"/>
    <w:link w:val="Textonotapie"/>
    <w:rsid w:val="00EB1CAB"/>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EB1CAB"/>
    <w:rPr>
      <w:vertAlign w:val="superscript"/>
    </w:rPr>
  </w:style>
  <w:style w:type="paragraph" w:styleId="Sangradetextonormal">
    <w:name w:val="Body Text Indent"/>
    <w:basedOn w:val="Normal"/>
    <w:link w:val="SangradetextonormalCar"/>
    <w:rsid w:val="00EB1CAB"/>
    <w:pPr>
      <w:spacing w:after="120"/>
      <w:ind w:left="283"/>
    </w:pPr>
  </w:style>
  <w:style w:type="character" w:customStyle="1" w:styleId="SangradetextonormalCar">
    <w:name w:val="Sangría de texto normal Car"/>
    <w:basedOn w:val="Fuentedeprrafopredeter"/>
    <w:link w:val="Sangradetextonormal"/>
    <w:rsid w:val="00EB1CAB"/>
    <w:rPr>
      <w:rFonts w:ascii="Times New Roman" w:eastAsia="Times New Roman" w:hAnsi="Times New Roman" w:cs="Times New Roman"/>
      <w:sz w:val="24"/>
      <w:szCs w:val="24"/>
      <w:lang w:eastAsia="es-ES"/>
    </w:rPr>
  </w:style>
  <w:style w:type="paragraph" w:styleId="Encabezado">
    <w:name w:val="header"/>
    <w:aliases w:val="encabezado,Encabezado Car Car Car Car,Encabezado Car Car,maria,Encabezado1,h"/>
    <w:basedOn w:val="Normal"/>
    <w:link w:val="EncabezadoCar"/>
    <w:unhideWhenUsed/>
    <w:rsid w:val="00EB1CAB"/>
    <w:pPr>
      <w:tabs>
        <w:tab w:val="center" w:pos="4252"/>
        <w:tab w:val="right" w:pos="8504"/>
      </w:tabs>
    </w:pPr>
    <w:rPr>
      <w:sz w:val="20"/>
      <w:szCs w:val="20"/>
      <w:lang w:eastAsia="es-PE"/>
    </w:rPr>
  </w:style>
  <w:style w:type="character" w:customStyle="1" w:styleId="EncabezadoCar">
    <w:name w:val="Encabezado Car"/>
    <w:aliases w:val="encabezado Car,Encabezado Car Car Car Car Car,Encabezado Car Car Car,maria Car,Encabezado1 Car,h Car"/>
    <w:basedOn w:val="Fuentedeprrafopredeter"/>
    <w:link w:val="Encabezado"/>
    <w:rsid w:val="00EB1CAB"/>
    <w:rPr>
      <w:rFonts w:ascii="Times New Roman" w:eastAsia="Times New Roman" w:hAnsi="Times New Roman" w:cs="Times New Roman"/>
      <w:sz w:val="20"/>
      <w:szCs w:val="20"/>
      <w:lang w:eastAsia="es-PE"/>
    </w:rPr>
  </w:style>
  <w:style w:type="paragraph" w:styleId="Textoindependiente">
    <w:name w:val="Body Text"/>
    <w:basedOn w:val="Normal"/>
    <w:link w:val="TextoindependienteCar"/>
    <w:uiPriority w:val="99"/>
    <w:unhideWhenUsed/>
    <w:rsid w:val="00EB1CAB"/>
    <w:pPr>
      <w:spacing w:after="120"/>
    </w:pPr>
  </w:style>
  <w:style w:type="character" w:customStyle="1" w:styleId="TextoindependienteCar">
    <w:name w:val="Texto independiente Car"/>
    <w:basedOn w:val="Fuentedeprrafopredeter"/>
    <w:link w:val="Textoindependiente"/>
    <w:uiPriority w:val="99"/>
    <w:rsid w:val="00EB1CAB"/>
    <w:rPr>
      <w:rFonts w:ascii="Times New Roman" w:eastAsia="Times New Roman" w:hAnsi="Times New Roman" w:cs="Times New Roman"/>
      <w:sz w:val="24"/>
      <w:szCs w:val="24"/>
      <w:lang w:eastAsia="es-ES"/>
    </w:rPr>
  </w:style>
  <w:style w:type="paragraph" w:styleId="Sinespaciado">
    <w:name w:val="No Spacing"/>
    <w:uiPriority w:val="1"/>
    <w:qFormat/>
    <w:rsid w:val="00EB1CAB"/>
    <w:pPr>
      <w:spacing w:after="0" w:line="240" w:lineRule="auto"/>
    </w:pPr>
    <w:rPr>
      <w:rFonts w:ascii="Calibri" w:eastAsia="Times New Roman" w:hAnsi="Calibri" w:cs="Times New Roman"/>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C:\Documents%20and%20Settings\gllano\Configuraci&#243;n%20local\Temp\RES590-2007-TC-S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11</Pages>
  <Words>3453</Words>
  <Characters>18997</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rsoto</dc:creator>
  <cp:keywords/>
  <dc:description/>
  <cp:lastModifiedBy>Carlos Enrique Haro Vargas</cp:lastModifiedBy>
  <cp:revision>23</cp:revision>
  <cp:lastPrinted>2011-02-10T21:43:00Z</cp:lastPrinted>
  <dcterms:created xsi:type="dcterms:W3CDTF">2011-02-10T15:56:00Z</dcterms:created>
  <dcterms:modified xsi:type="dcterms:W3CDTF">2011-02-24T21:29:00Z</dcterms:modified>
</cp:coreProperties>
</file>